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5D9" w:rsidRPr="006F2068" w:rsidRDefault="002129CE" w:rsidP="00271577">
      <w:pPr>
        <w:spacing w:line="276" w:lineRule="auto"/>
        <w:ind w:firstLine="0"/>
        <w:jc w:val="center"/>
        <w:rPr>
          <w:rFonts w:eastAsia="Times New Roman"/>
          <w:b/>
          <w:bCs/>
          <w:szCs w:val="28"/>
        </w:rPr>
      </w:pPr>
      <w:r w:rsidRPr="006F2068">
        <w:rPr>
          <w:rFonts w:eastAsia="Times New Roman"/>
          <w:b/>
          <w:bCs/>
          <w:szCs w:val="28"/>
        </w:rPr>
        <w:t>VAI TRÒ LÃNH ĐẠO CỦA ĐẢNG ĐỐI VỚI HOẠT ĐỘNG GIÁM SÁT CỦA QUỐC HỘI VÀ MỘT SỐ GIẢI PHÁP ĐỂ NÂNG CAO HIỆU LỰC, HIỆU QUẢ HOẠT ĐỘNG GIÁM SÁT CỦA QUỐC HỘI TRONG THỜI GIAN TỚI</w:t>
      </w:r>
    </w:p>
    <w:p w:rsidR="008615D9" w:rsidRPr="004D30BE" w:rsidRDefault="002129CE">
      <w:pPr>
        <w:spacing w:line="360" w:lineRule="auto"/>
        <w:ind w:firstLine="0"/>
        <w:jc w:val="right"/>
        <w:rPr>
          <w:rFonts w:eastAsia="Times New Roman"/>
          <w:bCs/>
          <w:szCs w:val="28"/>
        </w:rPr>
      </w:pPr>
      <w:r w:rsidRPr="004D30BE">
        <w:rPr>
          <w:rFonts w:eastAsia="Times New Roman"/>
          <w:bCs/>
          <w:szCs w:val="28"/>
        </w:rPr>
        <w:t>NGUYỄN HUY HOÀNG</w:t>
      </w:r>
      <w:r w:rsidR="00FC5843" w:rsidRPr="004D30BE">
        <w:rPr>
          <w:rStyle w:val="FootnoteReference"/>
          <w:rFonts w:eastAsia="Times New Roman"/>
          <w:bCs/>
          <w:szCs w:val="28"/>
        </w:rPr>
        <w:footnoteReference w:customMarkFollows="1" w:id="1"/>
        <w:sym w:font="Symbol" w:char="F02A"/>
      </w:r>
      <w:r w:rsidR="00FC5843" w:rsidRPr="004D30BE">
        <w:rPr>
          <w:rFonts w:eastAsia="Times New Roman"/>
          <w:bCs/>
          <w:szCs w:val="28"/>
        </w:rPr>
        <w:t xml:space="preserve"> </w:t>
      </w:r>
    </w:p>
    <w:p w:rsidR="008615D9" w:rsidRPr="006F2068" w:rsidRDefault="002129CE">
      <w:pPr>
        <w:spacing w:after="120" w:line="360" w:lineRule="auto"/>
        <w:rPr>
          <w:szCs w:val="28"/>
        </w:rPr>
      </w:pPr>
      <w:r w:rsidRPr="006F2068">
        <w:rPr>
          <w:b/>
          <w:i/>
          <w:szCs w:val="28"/>
        </w:rPr>
        <w:t>Tóm tắt:</w:t>
      </w:r>
      <w:r w:rsidRPr="006F2068">
        <w:rPr>
          <w:i/>
          <w:szCs w:val="28"/>
        </w:rPr>
        <w:t xml:space="preserve"> Bài viết phân tích vai trò lãnh đạo của Đảng đối với hoạt động giám sát của Quốc hội trên cơ sở các chủ trương của Đảng và văn bản pháp luật về tổ chức và hoạt động giám sát. Nội dung tập trung vào định hướng chính trị, thể chế hóa, lựa chọn chương trình giám sát và theo dõi việc thực hiện kiến nghị sau giám sát. Bài viết khái quát những kết quả đạt được, đồng thời nhận diện hạn chế về chất lượng thông tin, dữ liệu, cơ chế phối hợp, năng lực phục vụ giám sát và trách nhiệm thực hiện kiến nghị. Từ đó, đề xuất sáu nhóm giải pháp, nhấn mạnh đổi mới phương thức lãnh đạo của Đảng, hoàn thiện pháp luật, tăng cường trách nhiệm giải trình, nâng cao chất lượng giám sát, phối hợp giữa các cơ quan và ứng dụng công nghệ số. Kết quả thực hiện kiến nghị sau giám sát được xác định là thước đo quan trọng của hiệu lực, hiệu quả giám sát.</w:t>
      </w:r>
    </w:p>
    <w:p w:rsidR="008615D9" w:rsidRPr="006F2068" w:rsidRDefault="002129CE">
      <w:pPr>
        <w:spacing w:after="120" w:line="360" w:lineRule="auto"/>
        <w:rPr>
          <w:szCs w:val="28"/>
        </w:rPr>
      </w:pPr>
      <w:r w:rsidRPr="006F2068">
        <w:rPr>
          <w:b/>
          <w:i/>
          <w:szCs w:val="28"/>
        </w:rPr>
        <w:t>Từ khóa:</w:t>
      </w:r>
      <w:r w:rsidRPr="006F2068">
        <w:rPr>
          <w:i/>
          <w:szCs w:val="28"/>
        </w:rPr>
        <w:t xml:space="preserve"> Sự lãnh đạo của Đảng; giám sát của Quốc hội; kiểm soát quyền lực nhà nước; trách nhiệm giải trình; hậu giám sát.</w:t>
      </w:r>
    </w:p>
    <w:p w:rsidR="006A19F0" w:rsidRPr="006F2068" w:rsidRDefault="006A19F0" w:rsidP="006A19F0">
      <w:pPr>
        <w:spacing w:after="120" w:line="360" w:lineRule="auto"/>
        <w:rPr>
          <w:szCs w:val="28"/>
        </w:rPr>
      </w:pPr>
      <w:r w:rsidRPr="006F2068">
        <w:rPr>
          <w:b/>
          <w:i/>
          <w:szCs w:val="28"/>
        </w:rPr>
        <w:t>Abstract:</w:t>
      </w:r>
      <w:r>
        <w:rPr>
          <w:i/>
          <w:szCs w:val="28"/>
        </w:rPr>
        <w:t xml:space="preserve"> This article examines the leadership role of the Communist Party of Vietnam in National Assembly oversight, drawing on Party directives and legal instruments governing the organization and conduct of oversight. It focuses on political orientation, institutionalization, oversight agenda setting, and the follow-up of oversight recommendations. The article reviews achievements and identifies limitations in information and data quality, inter-agency coordination, oversight capacity, and responsibility for implementing recommendations. It proposes six groups of measures, emphasizing improvements in the Party’s leadership methods, the legal framework, accountability, oversight quality, inter-agency coordination, and the use of digital technologies. Implementation of oversight recommendations </w:t>
      </w:r>
      <w:r>
        <w:rPr>
          <w:i/>
          <w:szCs w:val="28"/>
        </w:rPr>
        <w:lastRenderedPageBreak/>
        <w:t>is identified as an important measure of the effectiveness and efficiency of parliamentary oversight.</w:t>
      </w:r>
    </w:p>
    <w:p w:rsidR="006A19F0" w:rsidRDefault="006A19F0" w:rsidP="006A19F0">
      <w:pPr>
        <w:spacing w:after="120" w:line="360" w:lineRule="auto"/>
        <w:rPr>
          <w:szCs w:val="28"/>
        </w:rPr>
      </w:pPr>
      <w:r>
        <w:rPr>
          <w:b/>
          <w:i/>
          <w:szCs w:val="28"/>
        </w:rPr>
        <w:t>Keywords:</w:t>
      </w:r>
      <w:r>
        <w:rPr>
          <w:i/>
          <w:szCs w:val="28"/>
        </w:rPr>
        <w:t xml:space="preserve"> Party leadership; National Assembly oversight; control of state power; accountability; post-oversight follow-up.</w:t>
      </w:r>
    </w:p>
    <w:p w:rsidR="00FC5843" w:rsidRPr="006F2068" w:rsidRDefault="00FC5843">
      <w:pPr>
        <w:spacing w:after="120" w:line="360" w:lineRule="auto"/>
        <w:rPr>
          <w:szCs w:val="28"/>
        </w:rPr>
      </w:pPr>
      <w:r>
        <w:rPr>
          <w:i/>
          <w:szCs w:val="28"/>
        </w:rPr>
        <w:t xml:space="preserve">Ngày nhận bài: 15/7/2026; Ngày sửa bài: 20/8/2026; Ngày duyệt đăng bài: </w:t>
      </w:r>
      <w:r w:rsidR="003435E0">
        <w:rPr>
          <w:i/>
          <w:szCs w:val="28"/>
        </w:rPr>
        <w:t>0</w:t>
      </w:r>
      <w:r>
        <w:rPr>
          <w:i/>
          <w:szCs w:val="28"/>
        </w:rPr>
        <w:t xml:space="preserve">5/9/2026. </w:t>
      </w:r>
    </w:p>
    <w:p w:rsidR="008615D9" w:rsidRPr="006F2068" w:rsidRDefault="002129CE" w:rsidP="003435E0">
      <w:pPr>
        <w:keepNext/>
        <w:spacing w:line="360" w:lineRule="auto"/>
        <w:outlineLvl w:val="2"/>
        <w:rPr>
          <w:rFonts w:eastAsia="Times New Roman"/>
          <w:b/>
          <w:bCs/>
          <w:szCs w:val="28"/>
        </w:rPr>
      </w:pPr>
      <w:r w:rsidRPr="006F2068">
        <w:rPr>
          <w:rFonts w:eastAsia="Times New Roman"/>
          <w:b/>
          <w:bCs/>
          <w:szCs w:val="28"/>
        </w:rPr>
        <w:t>Mở đầu</w:t>
      </w:r>
    </w:p>
    <w:p w:rsidR="008615D9" w:rsidRPr="003435E0" w:rsidRDefault="002129CE">
      <w:pPr>
        <w:spacing w:line="360" w:lineRule="auto"/>
        <w:rPr>
          <w:rFonts w:eastAsia="Times New Roman"/>
          <w:bCs/>
          <w:spacing w:val="-2"/>
          <w:szCs w:val="28"/>
        </w:rPr>
      </w:pPr>
      <w:r w:rsidRPr="003435E0">
        <w:rPr>
          <w:rFonts w:eastAsia="Times New Roman"/>
          <w:bCs/>
          <w:spacing w:val="-2"/>
          <w:szCs w:val="28"/>
        </w:rPr>
        <w:t>Hoạt động giám sát của Quốc hội là phương thức quan trọng để thực hiện quyền lực nhà nước, bảo đảm Hiến pháp và pháp luật được chấp hành nghiêm chỉnh, thống nhất; đồng thời góp phần kiểm soát quyền lực, nâng cao trách nhiệm giải trình của các cơ quan, tổ chức và cá nhân có thẩm quyền. Với vị trí là cơ quan đại biểu cao nhất của Nhân dân, cơ quan quyền lực nhà nước cao nhất, Quốc hội thực hiện chức năng giám sát tối cao đối với hoạt động của Nhà nước. Thông qua giám sát, Quốc hội phát hiện những hạn chế, bất cập trong thi hành chính sách, pháp luật, kiến nghị hoàn thiện thể chế và thúc đẩy xử lý các vấn đề thực tiễn đặt ra.</w:t>
      </w:r>
    </w:p>
    <w:p w:rsidR="008615D9" w:rsidRPr="006F2068" w:rsidRDefault="002129CE">
      <w:pPr>
        <w:spacing w:line="360" w:lineRule="auto"/>
        <w:rPr>
          <w:rFonts w:eastAsia="Times New Roman"/>
          <w:bCs/>
          <w:szCs w:val="28"/>
        </w:rPr>
      </w:pPr>
      <w:r w:rsidRPr="006F2068">
        <w:rPr>
          <w:rFonts w:eastAsia="Times New Roman"/>
          <w:bCs/>
          <w:szCs w:val="28"/>
        </w:rPr>
        <w:t>Thời gian qua, dưới sự lãnh đạo của Đảng, hoạt động giám sát của Quốc hội đã có nhiều đổi mới về nội dung, phương thức và hiệu quả. Các hình thức giám sát như chất vấn, giám sát chuyên đề, xem xét báo cáo, giám sát văn bản quy phạm pháp luật, giám sát việc giải quyết kiến nghị của cử tri, khiếu nại, tố cáo của công dân ngày càng được chú trọng. Nội dung giám sát tập trung hơn vào những vấn đề lớn, cấp thiết, có tác động trực tiếp đến phát triển kinh tế - xã hội, quốc phòng, an ninh, đối ngoại, tổ chức bộ máy nhà nước và đời sống Nhân dân. Nhiều kết luận, kiến nghị sau giám sát đã góp phần nâng cao kỷ luật, kỷ cương, thúc đẩy trách nhiệm của cơ quan chịu sự giám sát và tạo cơ sở cho việc sửa đổi, bổ sung chính sách, pháp luật.</w:t>
      </w:r>
    </w:p>
    <w:p w:rsidR="008615D9" w:rsidRPr="006F2068" w:rsidRDefault="002129CE">
      <w:pPr>
        <w:spacing w:line="360" w:lineRule="auto"/>
        <w:rPr>
          <w:rFonts w:eastAsia="Times New Roman"/>
          <w:szCs w:val="28"/>
        </w:rPr>
      </w:pPr>
      <w:r w:rsidRPr="006F2068">
        <w:rPr>
          <w:rFonts w:eastAsia="Times New Roman"/>
          <w:bCs/>
          <w:szCs w:val="28"/>
        </w:rPr>
        <w:t xml:space="preserve">Vì vậy, nghiên cứu vai trò lãnh đạo của Đảng đối với hoạt động giám sát của Quốc hội có ý nghĩa thiết thực cả về lý luận và thực tiễn. Bài viết tập trung làm rõ thực trạng, kết quả, hạn chế và nguyên nhân; nhận diện yêu cầu mới đặt ra; từ đó </w:t>
      </w:r>
      <w:r w:rsidRPr="006F2068">
        <w:rPr>
          <w:rFonts w:eastAsia="Times New Roman"/>
          <w:bCs/>
          <w:szCs w:val="28"/>
        </w:rPr>
        <w:lastRenderedPageBreak/>
        <w:t>đề xuất một số nhiệm vụ, giải pháp nhằm nâng cao hiệu lực, hiệu quả hoạt động giám sát của Quốc hội trong thời gian tới.</w:t>
      </w:r>
    </w:p>
    <w:p w:rsidR="008615D9" w:rsidRPr="006F2068" w:rsidRDefault="002129CE">
      <w:pPr>
        <w:keepNext/>
        <w:spacing w:line="360" w:lineRule="auto"/>
        <w:outlineLvl w:val="1"/>
        <w:rPr>
          <w:rFonts w:eastAsia="Times New Roman"/>
          <w:b/>
          <w:bCs/>
          <w:szCs w:val="28"/>
        </w:rPr>
      </w:pPr>
      <w:r w:rsidRPr="006F2068">
        <w:rPr>
          <w:rFonts w:eastAsia="Times New Roman"/>
          <w:b/>
          <w:bCs/>
          <w:szCs w:val="28"/>
        </w:rPr>
        <w:t>1. Thực trạng vai trò lãnh đạo của Đảng đối với hoạt động giám sát của Quốc hội trong thời gian qua</w:t>
      </w:r>
    </w:p>
    <w:p w:rsidR="008615D9" w:rsidRPr="00D547C0" w:rsidRDefault="002129CE">
      <w:pPr>
        <w:keepNext/>
        <w:spacing w:line="360" w:lineRule="auto"/>
        <w:outlineLvl w:val="2"/>
        <w:rPr>
          <w:rFonts w:eastAsia="Times New Roman"/>
          <w:bCs/>
          <w:i/>
          <w:szCs w:val="28"/>
        </w:rPr>
      </w:pPr>
      <w:r w:rsidRPr="00D547C0">
        <w:rPr>
          <w:rFonts w:eastAsia="Times New Roman"/>
          <w:bCs/>
          <w:i/>
          <w:szCs w:val="28"/>
        </w:rPr>
        <w:t>1.1. Khái quát chung</w:t>
      </w:r>
    </w:p>
    <w:p w:rsidR="008615D9" w:rsidRPr="006F2068" w:rsidRDefault="002129CE">
      <w:pPr>
        <w:spacing w:line="360" w:lineRule="auto"/>
        <w:outlineLvl w:val="2"/>
        <w:rPr>
          <w:rFonts w:eastAsia="Times New Roman"/>
          <w:bCs/>
          <w:szCs w:val="28"/>
        </w:rPr>
      </w:pPr>
      <w:r w:rsidRPr="006F2068">
        <w:rPr>
          <w:rFonts w:eastAsia="Times New Roman"/>
          <w:bCs/>
          <w:szCs w:val="28"/>
        </w:rPr>
        <w:t>Trong những năm gần đây, vai trò lãnh đạo của Đảng đối với hoạt động giám sát của Quốc hội được thể hiện rõ hơn trong tổng thể chủ trương xây dựng, hoàn thiện Nhà nước pháp quyền, đổi mới tổ chức và hoạt động của Quốc hội, kiểm soát quyền lực nhà nước, phòng, chống tham nhũng, lãng phí, tiêu cực. Nghị quyết số 27-NQ/TW xác định yêu cầu tiếp tục hoàn thiện cơ chế kiểm soát quyền lực nhà nước, nâng cao hiệu lực, hiệu quả hoạt động của Quốc hội và các thiết chế kiểm tra, thanh tra, kiểm toán, giám sát của Mặt trận Tổ quốc Việt Nam và Nhân dân.</w:t>
      </w:r>
      <w:r w:rsidRPr="006F2068">
        <w:rPr>
          <w:szCs w:val="28"/>
          <w:vertAlign w:val="superscript"/>
        </w:rPr>
        <w:footnoteReference w:id="2"/>
      </w:r>
      <w:r w:rsidRPr="006F2068">
        <w:rPr>
          <w:rFonts w:eastAsia="Times New Roman"/>
          <w:bCs/>
          <w:szCs w:val="28"/>
        </w:rPr>
        <w:t xml:space="preserve"> Nghị quyết số 28-NQ/TW tiếp tục đặt ra yêu cầu đổi mới phương thức lãnh đạo, cầm quyền của Đảng đối với hệ thống chính trị, bảo đảm sự lãnh đạo toàn diện, thống nhất của Đảng, đồng thời phát huy tính chủ động, trách nhiệm của các cơ quan nhà nước.</w:t>
      </w:r>
      <w:r w:rsidRPr="006F2068">
        <w:rPr>
          <w:szCs w:val="28"/>
          <w:vertAlign w:val="superscript"/>
        </w:rPr>
        <w:footnoteReference w:id="3"/>
      </w:r>
      <w:r w:rsidRPr="006F2068">
        <w:rPr>
          <w:rFonts w:eastAsia="Times New Roman"/>
          <w:bCs/>
          <w:szCs w:val="28"/>
        </w:rPr>
        <w:t xml:space="preserve"> Đây là cơ sở chính trị quan trọng để nhận thức đúng mối quan hệ giữa sự lãnh đạo của Đảng và việc Quốc hội thực hiện chức năng giám sát tối cao theo Hiến pháp, pháp luật.</w:t>
      </w:r>
    </w:p>
    <w:p w:rsidR="008615D9" w:rsidRPr="006F2068" w:rsidRDefault="002129CE">
      <w:pPr>
        <w:spacing w:line="360" w:lineRule="auto"/>
        <w:outlineLvl w:val="2"/>
        <w:rPr>
          <w:rFonts w:eastAsia="Times New Roman"/>
          <w:bCs/>
          <w:szCs w:val="28"/>
        </w:rPr>
      </w:pPr>
      <w:r w:rsidRPr="006F2068">
        <w:rPr>
          <w:rFonts w:eastAsia="Times New Roman"/>
          <w:bCs/>
          <w:szCs w:val="28"/>
        </w:rPr>
        <w:t>Trên phương diện pháp lý, các chủ trương của Đảng từng bước được thể chế hóa thành các quy định về tổ chức và hoạt động giám sát. Luật Tổ chức Quốc hội được sửa đổi, bổ sung trong các năm 2020 và 2025; Luật Hoạt động giám sát của Quốc hội và Hội đồng nhân dân năm 2025 tiếp tục hoàn thiện cơ sở pháp lý về thẩm quyền, trách nhiệm của chủ thể giám sát, trách nhiệm của cơ quan chịu sự giám sát và điều kiện bảo đảm cho hoạt động giám sát.</w:t>
      </w:r>
      <w:r w:rsidRPr="006F2068">
        <w:rPr>
          <w:szCs w:val="28"/>
          <w:vertAlign w:val="superscript"/>
        </w:rPr>
        <w:footnoteReference w:id="4"/>
      </w:r>
      <w:r w:rsidRPr="006F2068">
        <w:rPr>
          <w:rFonts w:eastAsia="Times New Roman"/>
          <w:bCs/>
          <w:szCs w:val="28"/>
        </w:rPr>
        <w:t xml:space="preserve"> Cùng với đó, các nghị quyết của Quốc hội, Ủy ban Thường vụ Quốc hội về chương trình giám sát hằng </w:t>
      </w:r>
      <w:r w:rsidRPr="006F2068">
        <w:rPr>
          <w:rFonts w:eastAsia="Times New Roman"/>
          <w:bCs/>
          <w:szCs w:val="28"/>
        </w:rPr>
        <w:lastRenderedPageBreak/>
        <w:t>năm, giám sát chuyên đề, chất vấn, giám sát văn bản quy phạm pháp luật và theo dõi việc thực hiện nghị quyết sau giám sát đã làm cho hoạt động giám sát ngày càng có căn cứ, có quy trình và có yêu cầu trách nhiệm rõ hơn.</w:t>
      </w:r>
    </w:p>
    <w:p w:rsidR="008615D9" w:rsidRPr="006F2068" w:rsidRDefault="002129CE">
      <w:pPr>
        <w:spacing w:line="360" w:lineRule="auto"/>
        <w:outlineLvl w:val="2"/>
        <w:rPr>
          <w:rFonts w:eastAsia="Times New Roman"/>
          <w:bCs/>
          <w:szCs w:val="28"/>
        </w:rPr>
      </w:pPr>
      <w:r w:rsidRPr="006F2068">
        <w:rPr>
          <w:rFonts w:eastAsia="Times New Roman"/>
          <w:bCs/>
          <w:szCs w:val="28"/>
        </w:rPr>
        <w:t>Đáng chú ý, tư duy “hậu giám sát” ngày càng được nhấn mạnh. Nghị quyết số 109/2023/QH15 về tiếp tục thực hiện một số nghị quyết của Quốc hội khóa XIV và từ đầu nhiệm kỳ khóa XV đến hết Kỳ họp thứ 4 về giám sát chuyên đề, chất vấn cho thấy Quốc hội không chỉ dừng lại ở việc ban hành nghị quyết, kết luận sau giám sát, mà tiếp tục yêu cầu các cơ quan chịu sự giám sát thực hiện nhiệm vụ, khắc phục hạn chế và báo cáo kết quả thực hiện</w:t>
      </w:r>
      <w:r w:rsidR="006F2068" w:rsidRPr="006F2068">
        <w:rPr>
          <w:rFonts w:eastAsia="Times New Roman"/>
          <w:bCs/>
          <w:szCs w:val="28"/>
        </w:rPr>
        <w:t>.</w:t>
      </w:r>
    </w:p>
    <w:p w:rsidR="008615D9" w:rsidRPr="00334199" w:rsidRDefault="002129CE">
      <w:pPr>
        <w:keepNext/>
        <w:spacing w:line="360" w:lineRule="auto"/>
        <w:outlineLvl w:val="2"/>
        <w:rPr>
          <w:i/>
          <w:szCs w:val="28"/>
        </w:rPr>
      </w:pPr>
      <w:r w:rsidRPr="00334199">
        <w:rPr>
          <w:rFonts w:eastAsia="Times New Roman"/>
          <w:bCs/>
          <w:i/>
          <w:szCs w:val="28"/>
        </w:rPr>
        <w:t>1.2. Kết quả đạt được</w:t>
      </w:r>
    </w:p>
    <w:p w:rsidR="008615D9" w:rsidRPr="006F2068" w:rsidRDefault="002129CE">
      <w:pPr>
        <w:spacing w:line="360" w:lineRule="auto"/>
        <w:rPr>
          <w:szCs w:val="28"/>
        </w:rPr>
      </w:pPr>
      <w:r w:rsidRPr="006F2068">
        <w:rPr>
          <w:rFonts w:eastAsia="Times New Roman"/>
          <w:i/>
          <w:szCs w:val="28"/>
        </w:rPr>
        <w:t>Sự lãnh đạo, chỉ đạo của Đảng đối với hoạt động giám sát của Quốc hội ngày càng rõ hơn về định hướng chính trị.</w:t>
      </w:r>
      <w:r w:rsidRPr="006F2068">
        <w:rPr>
          <w:rFonts w:eastAsia="Times New Roman"/>
          <w:szCs w:val="28"/>
        </w:rPr>
        <w:t xml:space="preserve"> Những năm gần đây, Đảng đã ban hành và chỉ đạo thực hiện nhiều chủ trương, nghị quyết, kết luận quan trọng về xây dựng Nhà nước pháp quyền xã hội chủ nghĩa Việt Nam, đổi mới phương thức lãnh đạo, cầm quyền, kiểm soát quyền lực nhà nước, phòng, chống tham nhũng, lãng phí, tiêu cực.</w:t>
      </w:r>
      <w:r w:rsidRPr="006F2068">
        <w:rPr>
          <w:szCs w:val="28"/>
          <w:vertAlign w:val="superscript"/>
        </w:rPr>
        <w:footnoteReference w:id="5"/>
      </w:r>
      <w:r w:rsidRPr="006F2068">
        <w:rPr>
          <w:rFonts w:eastAsia="Times New Roman"/>
          <w:szCs w:val="28"/>
        </w:rPr>
        <w:t xml:space="preserve"> Kết luận số 21-KL/TW ngày 25/10/2021 cũng góp phần củng cố yêu cầu tăng cường giám sát những lĩnh vực dễ phát sinh tiêu cực, lãng phí, thất thoát nguồn lực công và trách nhiệm của người đứng đầu.</w:t>
      </w:r>
      <w:r w:rsidRPr="006F2068">
        <w:rPr>
          <w:szCs w:val="28"/>
          <w:vertAlign w:val="superscript"/>
        </w:rPr>
        <w:footnoteReference w:id="6"/>
      </w:r>
      <w:r w:rsidRPr="006F2068">
        <w:rPr>
          <w:rFonts w:eastAsia="Times New Roman"/>
          <w:szCs w:val="28"/>
        </w:rPr>
        <w:t xml:space="preserve"> Nhờ đó, hoạt động giám sát của Quốc hội ngày càng gắn hơn với kiểm soát quyền lực, trách nhiệm giải trình và phòng ngừa rủi ro thể chế.</w:t>
      </w:r>
    </w:p>
    <w:p w:rsidR="008615D9" w:rsidRPr="006F2068" w:rsidRDefault="002129CE" w:rsidP="00334199">
      <w:pPr>
        <w:spacing w:line="360" w:lineRule="auto"/>
        <w:rPr>
          <w:szCs w:val="28"/>
        </w:rPr>
      </w:pPr>
      <w:r w:rsidRPr="006F2068">
        <w:rPr>
          <w:rFonts w:eastAsia="Times New Roman"/>
          <w:i/>
          <w:szCs w:val="28"/>
        </w:rPr>
        <w:t>Các chủ trương của Đảng từng bước được thể chế hóa thành quy định pháp luật về giám sát.</w:t>
      </w:r>
      <w:r w:rsidRPr="006F2068">
        <w:rPr>
          <w:rFonts w:eastAsia="Times New Roman"/>
          <w:szCs w:val="28"/>
        </w:rPr>
        <w:t xml:space="preserve"> </w:t>
      </w:r>
      <w:r w:rsidR="006F2068" w:rsidRPr="006F2068">
        <w:rPr>
          <w:rFonts w:eastAsia="Times New Roman"/>
          <w:szCs w:val="28"/>
        </w:rPr>
        <w:t>C</w:t>
      </w:r>
      <w:r w:rsidRPr="006F2068">
        <w:rPr>
          <w:rFonts w:eastAsia="Times New Roman"/>
          <w:szCs w:val="28"/>
        </w:rPr>
        <w:t xml:space="preserve">ác nghị quyết của Ủy ban Thường vụ Quốc hội như Nghị quyết số 560/NQ-UBTVQH15 năm 2022 về giám sát văn bản quy phạm pháp luật và Nghị quyết số 594/NQ-UBTVQH15 năm 2022 về hoạt động giám sát của Hội đồng nhân dân đã góp phần cụ thể hóa quy trình, phương thức giám sát trong hệ </w:t>
      </w:r>
      <w:r w:rsidRPr="006F2068">
        <w:rPr>
          <w:rFonts w:eastAsia="Times New Roman"/>
          <w:szCs w:val="28"/>
        </w:rPr>
        <w:lastRenderedPageBreak/>
        <w:t>thống cơ quan dân cử.</w:t>
      </w:r>
      <w:r w:rsidRPr="006F2068">
        <w:rPr>
          <w:szCs w:val="28"/>
          <w:vertAlign w:val="superscript"/>
        </w:rPr>
        <w:footnoteReference w:id="7"/>
      </w:r>
      <w:r w:rsidRPr="006F2068">
        <w:rPr>
          <w:rFonts w:eastAsia="Times New Roman"/>
          <w:szCs w:val="28"/>
        </w:rPr>
        <w:t xml:space="preserve"> Quá trình thể chế hóa này tạo cơ sở để Quốc hội, Ủy ban Thường vụ Quốc hội, Hội đồng Dân tộc, các Ủy ban của Quốc hội, Đoàn đại biểu Quốc hội và đại biểu Quốc hội thực hiện giám sát nền nếp, rõ trách nhiệm hơn.</w:t>
      </w:r>
    </w:p>
    <w:p w:rsidR="008615D9" w:rsidRPr="006F2068" w:rsidRDefault="002129CE">
      <w:pPr>
        <w:spacing w:line="360" w:lineRule="auto"/>
        <w:rPr>
          <w:szCs w:val="28"/>
        </w:rPr>
      </w:pPr>
      <w:r w:rsidRPr="006F2068">
        <w:rPr>
          <w:rFonts w:eastAsia="Times New Roman"/>
          <w:i/>
          <w:szCs w:val="28"/>
        </w:rPr>
        <w:t>Nội dung giám sát ngày càng có trọng tâm, trọng điểm hơn.</w:t>
      </w:r>
      <w:r w:rsidRPr="006F2068">
        <w:rPr>
          <w:rFonts w:eastAsia="Times New Roman"/>
          <w:szCs w:val="28"/>
        </w:rPr>
        <w:t xml:space="preserve"> Các chương trình giám sát hằng năm của Quốc hội khóa XV, nhất là Nghị quyết số 130/2024/QH15 về Chương trình giám sát của Quốc hội năm 2025 và Nghị quyết số 207/2025/QH15 về Chương trình giám sát của Quốc hội năm 2026, cho thấy hoạt động giám sát được tổ chức theo kế hoạch, có chủ đề và hướng vào các vấn đề lớn của quản trị quốc gia.</w:t>
      </w:r>
      <w:r w:rsidRPr="006F2068">
        <w:rPr>
          <w:szCs w:val="28"/>
          <w:vertAlign w:val="superscript"/>
        </w:rPr>
        <w:footnoteReference w:id="8"/>
      </w:r>
      <w:r w:rsidRPr="006F2068">
        <w:rPr>
          <w:rFonts w:eastAsia="Times New Roman"/>
          <w:szCs w:val="28"/>
        </w:rPr>
        <w:t xml:space="preserve"> Nhiều chuyên đề giám sát tập trung vào các lĩnh vực có tác động rộng như thực hành tiết kiệm, chống lãng phí; công tác quy hoạch; quản lý thị trường bất động sản, phát triển nhà ở xã hội; các chương trình mục tiêu quốc gia; chính sách tài khóa, tiền tệ phục hồi phát triển kinh tế - xã hội; phòng, chống dịch COVID-19; y tế cơ sở, y tế dự phòng; bảo vệ môi trường và các dự án quan trọng quốc gia. Điều này cho thấy giám sát của Quốc hội đang chuyển dần từ dàn trải sang có trọng tâm, từ nghe báo cáo sang đánh giá kết quả thực hiện, từ phát hiện vấn đề sang yêu cầu tạo chuyển biến sau giám sát.</w:t>
      </w:r>
    </w:p>
    <w:p w:rsidR="008615D9" w:rsidRPr="006F2068" w:rsidRDefault="002129CE">
      <w:pPr>
        <w:spacing w:line="360" w:lineRule="auto"/>
        <w:rPr>
          <w:szCs w:val="28"/>
        </w:rPr>
      </w:pPr>
      <w:r w:rsidRPr="006F2068">
        <w:rPr>
          <w:rFonts w:eastAsia="Times New Roman"/>
          <w:i/>
          <w:szCs w:val="28"/>
        </w:rPr>
        <w:t>Các hình thức giám sát tiếp tục được đổi mới theo hướng thực chất hơn.</w:t>
      </w:r>
      <w:r w:rsidRPr="006F2068">
        <w:rPr>
          <w:rFonts w:eastAsia="Times New Roman"/>
          <w:szCs w:val="28"/>
        </w:rPr>
        <w:t xml:space="preserve"> Hoạt động chất vấn tại kỳ họp Quốc hội và phiên họp của Ủy ban Thường vụ Quốc hội ngày càng tập trung vào trách nhiệm của người đứng đầu, các vấn đề bức xúc trong quản lý nhà nước và việc thực hiện cam kết sau chất vấn. Giám sát chuyên đề tiếp tục là phương thức quan trọng để Quốc hội đi sâu đánh giá việc thực hiện chính sách, pháp luật trong những lĩnh vực có tác động lớn đến phát triển kinh tế - xã hội và đời sống Nhân dân. Giám sát văn bản quy phạm pháp luật được chú trọng hơn, nhất là sau khi ban hành Nghị quyết số 560/NQ-UBTVQH15 năm 2022, góp phần phát hiện văn bản có dấu hiệu trái Hiến pháp, luật, nghị quyết của </w:t>
      </w:r>
      <w:r w:rsidRPr="006F2068">
        <w:rPr>
          <w:rFonts w:eastAsia="Times New Roman"/>
          <w:szCs w:val="28"/>
        </w:rPr>
        <w:lastRenderedPageBreak/>
        <w:t>Quốc hội hoặc không phù hợp thực tiễn.</w:t>
      </w:r>
      <w:r w:rsidRPr="006F2068">
        <w:rPr>
          <w:szCs w:val="28"/>
          <w:vertAlign w:val="superscript"/>
        </w:rPr>
        <w:footnoteReference w:id="9"/>
      </w:r>
      <w:r w:rsidRPr="006F2068">
        <w:rPr>
          <w:rFonts w:eastAsia="Times New Roman"/>
          <w:szCs w:val="28"/>
        </w:rPr>
        <w:t xml:space="preserve"> Công tác giám sát việc giải quyết khiếu nại, tố cáo, kiến nghị của cử tri cũng được thực hiện thường xuyên hơn, gắn với trách nhiệm tiếp thu, trả lời và xử lý kiến nghị của cơ quan có thẩm quyền.</w:t>
      </w:r>
    </w:p>
    <w:p w:rsidR="008615D9" w:rsidRPr="006F2068" w:rsidRDefault="002129CE">
      <w:pPr>
        <w:spacing w:line="360" w:lineRule="auto"/>
        <w:rPr>
          <w:szCs w:val="28"/>
        </w:rPr>
      </w:pPr>
      <w:r w:rsidRPr="006F2068">
        <w:rPr>
          <w:rFonts w:eastAsia="Times New Roman"/>
          <w:i/>
          <w:szCs w:val="28"/>
        </w:rPr>
        <w:t>Trách nhiệm giải trình của cơ quan chịu sự giám sát từng bước được nâng lên. Thông</w:t>
      </w:r>
      <w:r w:rsidRPr="006F2068">
        <w:rPr>
          <w:rFonts w:eastAsia="Times New Roman"/>
          <w:szCs w:val="28"/>
        </w:rPr>
        <w:t xml:space="preserve"> qua chất vấn, giám sát chuyên đề, xem xét báo cáo và theo dõi việc thực hiện kiến nghị sau giám sát, các cơ quan chịu sự giám sát phải báo cáo rõ hơn về kết quả thực hiện nhiệm vụ, hạn chế, nguyên nhân và trách nhiệm trong quản lý, điều hành. Đặc biệt, Nghị quyết số 109/2023/QH15 và Nghị quyết số 263/2025/QH15 về tiếp tục thực hiện các nghị quyết giám sát chuyên đề, chất vấn cho thấy Quốc hội không chỉ dừng lại ở việc nêu vấn đề, mà còn yêu cầu tiếp tục thực hiện những nhiệm vụ chưa hoàn thành, khắc phục hạn chế và báo cáo kết quả thực hiện.</w:t>
      </w:r>
      <w:r w:rsidRPr="006F2068">
        <w:rPr>
          <w:szCs w:val="28"/>
          <w:vertAlign w:val="superscript"/>
        </w:rPr>
        <w:footnoteReference w:id="10"/>
      </w:r>
      <w:r w:rsidRPr="006F2068">
        <w:rPr>
          <w:rFonts w:eastAsia="Times New Roman"/>
          <w:szCs w:val="28"/>
        </w:rPr>
        <w:t xml:space="preserve"> Đây là biểu hiện rõ của tư duy “giám sát đến cùng”, coi kết quả thực hiện sau giám sát là thước đo quan trọng về hiệu lực, hiệu quả giám sát.</w:t>
      </w:r>
    </w:p>
    <w:p w:rsidR="008615D9" w:rsidRPr="006F2068" w:rsidRDefault="002129CE">
      <w:pPr>
        <w:spacing w:line="360" w:lineRule="auto"/>
        <w:rPr>
          <w:rFonts w:eastAsia="Times New Roman"/>
          <w:szCs w:val="28"/>
        </w:rPr>
      </w:pPr>
      <w:r w:rsidRPr="006F2068">
        <w:rPr>
          <w:rFonts w:eastAsia="Times New Roman"/>
          <w:i/>
          <w:szCs w:val="28"/>
        </w:rPr>
        <w:t>Công tác phối hợp trong hoạt động giám sát có chuyển biến tích cực.</w:t>
      </w:r>
      <w:r w:rsidRPr="006F2068">
        <w:rPr>
          <w:rFonts w:eastAsia="Times New Roman"/>
          <w:szCs w:val="28"/>
        </w:rPr>
        <w:t xml:space="preserve"> Sự phối hợp giữa Quốc hội với các cơ quan của Đảng, Chính phủ, Mặt trận Tổ quốc Việt Nam, Kiểm toán Nhà nước, Thanh tra Chính phủ và các cơ quan liên quan được thể hiện từ khâu lựa chọn nội dung giám sát, cung cấp thông tin, tổ chức khảo sát, giải trình, tiếp thu kiến nghị đến theo dõi việc thực hiện kết luận, nghị quyết sau giám sát. Kết quả kiểm tra, thanh tra, kiểm toán, giám sát xã hội và phản ánh của cử tri, Nhân dân đã góp phần bổ sung căn cứ thực tiễn cho hoạt động giám sát của Quốc hội</w:t>
      </w:r>
    </w:p>
    <w:p w:rsidR="008615D9" w:rsidRPr="00334199" w:rsidRDefault="002129CE">
      <w:pPr>
        <w:keepNext/>
        <w:spacing w:line="360" w:lineRule="auto"/>
        <w:outlineLvl w:val="2"/>
        <w:rPr>
          <w:i/>
          <w:szCs w:val="28"/>
        </w:rPr>
      </w:pPr>
      <w:r w:rsidRPr="00334199">
        <w:rPr>
          <w:rFonts w:eastAsia="Times New Roman"/>
          <w:bCs/>
          <w:i/>
          <w:szCs w:val="28"/>
        </w:rPr>
        <w:t>1.3. Một số hạn chế, bất cập</w:t>
      </w:r>
    </w:p>
    <w:p w:rsidR="008615D9" w:rsidRPr="006F2068" w:rsidRDefault="002129CE">
      <w:pPr>
        <w:spacing w:line="360" w:lineRule="auto"/>
        <w:rPr>
          <w:rFonts w:eastAsia="Times New Roman"/>
          <w:szCs w:val="28"/>
        </w:rPr>
      </w:pPr>
      <w:r w:rsidRPr="006F2068">
        <w:rPr>
          <w:rFonts w:eastAsia="Times New Roman"/>
          <w:szCs w:val="28"/>
        </w:rPr>
        <w:t>Bên cạnh những kết quả đạt được, vai trò lãnh đạo của Đảng đối với hoạt động giám sát của Quốc hội và hiệu quả tổ chức thực hiện hoạt động giám sát vẫn còn một số hạn chế, bất cập cần tiếp tục khắc phục.</w:t>
      </w:r>
    </w:p>
    <w:p w:rsidR="008615D9" w:rsidRPr="006F2068" w:rsidRDefault="002129CE">
      <w:pPr>
        <w:spacing w:line="360" w:lineRule="auto"/>
        <w:rPr>
          <w:szCs w:val="28"/>
        </w:rPr>
      </w:pPr>
      <w:r w:rsidRPr="006F2068">
        <w:rPr>
          <w:rFonts w:eastAsia="Times New Roman"/>
          <w:i/>
          <w:szCs w:val="28"/>
        </w:rPr>
        <w:lastRenderedPageBreak/>
        <w:t>Thứ nhất</w:t>
      </w:r>
      <w:r w:rsidRPr="006F2068">
        <w:rPr>
          <w:rFonts w:eastAsia="Times New Roman"/>
          <w:szCs w:val="28"/>
        </w:rPr>
        <w:t>, việc cụ thể hóa một số chủ trương của Đảng về giám sát, kiểm soát quyền lực, trách nhiệm giải trình có lúc còn chậm, chưa thật sự đồng bộ. Một số định hướng lớn về kiểm soát quyền lực nhà nước, phòng, chống tham nhũng, lãng phí, tiêu cực, nâng cao hiệu lực hoạt động của cơ quan dân cử đã được xác định rõ, nhưng quá trình chuyển hóa thành quy định pháp luật, cơ chế phối hợp, quy trình giám sát và chế tài hậu giám sát chưa luôn theo kịp yêu cầu thực tiễn. Điều này làm cho hiệu quả lãnh đạo, chỉ đạo có nơi, có lúc chưa được chuyển hóa đầy đủ thành kết quả cụ thể trong hoạt động giám sát.</w:t>
      </w:r>
    </w:p>
    <w:p w:rsidR="008615D9" w:rsidRPr="006F2068" w:rsidRDefault="002129CE">
      <w:pPr>
        <w:spacing w:line="360" w:lineRule="auto"/>
        <w:rPr>
          <w:szCs w:val="28"/>
        </w:rPr>
      </w:pPr>
      <w:r w:rsidRPr="006F2068">
        <w:rPr>
          <w:rFonts w:eastAsia="Times New Roman"/>
          <w:i/>
          <w:szCs w:val="28"/>
        </w:rPr>
        <w:t>Thứ hai,</w:t>
      </w:r>
      <w:r w:rsidRPr="006F2068">
        <w:rPr>
          <w:rFonts w:eastAsia="Times New Roman"/>
          <w:szCs w:val="28"/>
        </w:rPr>
        <w:t xml:space="preserve"> một số hoạt động giám sát vẫn còn biểu hiện dàn trải, chưa thật sự đi sâu vào những vấn đề có tính cấu trúc, liên ngành, liên vùng hoặc những vấn đề mới phát sinh. Trong khi thực tiễn quản trị quốc gia ngày càng xuất hiện nhiều vấn đề phức tạp như chuyển đổi số, quản lý dữ liệu, an ninh phi truyền thống, biến đổi khí hậu, tài chính công, tài sản công, sắp xếp tổ chức bộ máy, thì phương thức giám sát ở một số trường hợp vẫn còn thiên về xem xét báo cáo, chưa khai thác đầy đủ các công cụ phân tích chính sách, đánh giá tác động và đối chiếu dữ liệu độc lập.</w:t>
      </w:r>
    </w:p>
    <w:p w:rsidR="008615D9" w:rsidRPr="006F2068" w:rsidRDefault="002129CE">
      <w:pPr>
        <w:spacing w:line="360" w:lineRule="auto"/>
        <w:rPr>
          <w:szCs w:val="28"/>
        </w:rPr>
      </w:pPr>
      <w:r w:rsidRPr="006F2068">
        <w:rPr>
          <w:rFonts w:eastAsia="Times New Roman"/>
          <w:i/>
          <w:szCs w:val="28"/>
        </w:rPr>
        <w:t>Thứ ba,</w:t>
      </w:r>
      <w:r w:rsidRPr="006F2068">
        <w:rPr>
          <w:rFonts w:eastAsia="Times New Roman"/>
          <w:szCs w:val="28"/>
        </w:rPr>
        <w:t xml:space="preserve"> chất lượng chuẩn bị nội dung, thông tin, dữ liệu phục vụ giám sát ở một số trường hợp còn hạn chế. Việc thu thập, xử lý, kiểm chứng thông tin phục vụ giám sát chưa thật sự đồng bộ; cơ sở dữ liệu dùng chung giữa các cơ quan còn phân tán; việc ứng dụng công nghệ thông tin, chuyển đổi số và phân tích dữ liệu trong hoạt động giám sát chưa đáp ứng yêu cầu. Đây là hạn chế đáng chú ý, bởi giám sát trong bối cảnh mới không thể chỉ dựa vào báo cáo hành chính, mà cần dựa nhiều hơn vào bằng chứng, dữ liệu và đánh giá độc lập.</w:t>
      </w:r>
    </w:p>
    <w:p w:rsidR="008615D9" w:rsidRPr="006F2068" w:rsidRDefault="002129CE">
      <w:pPr>
        <w:spacing w:line="360" w:lineRule="auto"/>
        <w:rPr>
          <w:szCs w:val="28"/>
        </w:rPr>
      </w:pPr>
      <w:r w:rsidRPr="006F2068">
        <w:rPr>
          <w:rFonts w:eastAsia="Times New Roman"/>
          <w:i/>
          <w:szCs w:val="28"/>
        </w:rPr>
        <w:t>Thứ tư,</w:t>
      </w:r>
      <w:r w:rsidRPr="006F2068">
        <w:rPr>
          <w:rFonts w:eastAsia="Times New Roman"/>
          <w:szCs w:val="28"/>
        </w:rPr>
        <w:t xml:space="preserve"> công tác theo dõi, đôn đốc việc thực hiện kết luận, kiến nghị sau giám sát tuy đã được quan tâm hơn nhưng vẫn chưa thật sự thường xuyên, quyết liệt. Một số kiến nghị sau giám sát còn chậm được thực hiện hoặc thực hiện chưa đầy đủ; việc xác định trách nhiệm đối với cơ quan, tổ chức, cá nhân chậm thực hiện kiến nghị giám sát chưa rõ; chế tài hậu giám sát chưa đủ mạnh. Vì vậy, có trường hợp kết quả giám sát chưa tạo được chuyển biến tương xứng trong thực tiễn quản lý nhà nước.</w:t>
      </w:r>
    </w:p>
    <w:p w:rsidR="008615D9" w:rsidRPr="006F2068" w:rsidRDefault="002129CE">
      <w:pPr>
        <w:spacing w:line="360" w:lineRule="auto"/>
        <w:rPr>
          <w:szCs w:val="28"/>
        </w:rPr>
      </w:pPr>
      <w:r w:rsidRPr="006F2068">
        <w:rPr>
          <w:rFonts w:eastAsia="Times New Roman"/>
          <w:i/>
          <w:szCs w:val="28"/>
        </w:rPr>
        <w:lastRenderedPageBreak/>
        <w:t>Thứ năm,</w:t>
      </w:r>
      <w:r w:rsidRPr="006F2068">
        <w:rPr>
          <w:rFonts w:eastAsia="Times New Roman"/>
          <w:szCs w:val="28"/>
        </w:rPr>
        <w:t xml:space="preserve"> phối hợp giữa giám sát của Quốc hội với kiểm tra của Đảng, thanh tra, kiểm toán, giám sát của Mặt trận Tổ quốc Việt Nam và Nhân dân có lúc, có việc còn thiếu chặt chẽ. Cơ chế chia sẻ thông tin, dữ liệu, kết quả kiểm tra, thanh tra, kiểm toán, giám sát xã hội chưa thật sự thống nhất, làm giảm khả năng bổ trợ giữa các thiết chế kiểm soát quyền lực. Trong một số trường hợp, còn có nguy cơ trùng lặp về nội dung, phân tán nguồn lực hoặc thiếu liên thông trong xử lý kết quả sau giám sát.</w:t>
      </w:r>
    </w:p>
    <w:p w:rsidR="008615D9" w:rsidRPr="006F2068" w:rsidRDefault="002129CE">
      <w:pPr>
        <w:spacing w:line="360" w:lineRule="auto"/>
        <w:rPr>
          <w:szCs w:val="28"/>
        </w:rPr>
      </w:pPr>
      <w:r w:rsidRPr="006F2068">
        <w:rPr>
          <w:rFonts w:eastAsia="Times New Roman"/>
          <w:i/>
          <w:szCs w:val="28"/>
        </w:rPr>
        <w:t>Thứ sáu,</w:t>
      </w:r>
      <w:r w:rsidRPr="006F2068">
        <w:rPr>
          <w:rFonts w:eastAsia="Times New Roman"/>
          <w:szCs w:val="28"/>
        </w:rPr>
        <w:t xml:space="preserve"> năng lực và điều kiện bảo đảm cho hoạt động giám sát của một số chủ thể giám sát còn chưa tương xứng với yêu cầu ngày càng cao của thực tiễn. Hoạt động giám sát đòi hỏi kiến thức chuyên sâu, kỹ năng phân tích chính sách, khả năng xử lý dữ liệu, năng lực phát hiện vấn đề và theo dõi sau giám sát. Tuy nhiên, nguồn lực chuyên gia, bộ máy tham mưu, điều kiện kỹ thuật, cơ sở dữ liệu và công cụ hỗ trợ giám sát ở một số khâu còn hạn chế</w:t>
      </w:r>
    </w:p>
    <w:p w:rsidR="008615D9" w:rsidRPr="00AB4534" w:rsidRDefault="002129CE">
      <w:pPr>
        <w:keepNext/>
        <w:spacing w:line="360" w:lineRule="auto"/>
        <w:outlineLvl w:val="2"/>
        <w:rPr>
          <w:i/>
          <w:szCs w:val="28"/>
        </w:rPr>
      </w:pPr>
      <w:r w:rsidRPr="00AB4534">
        <w:rPr>
          <w:rFonts w:eastAsia="Times New Roman"/>
          <w:bCs/>
          <w:i/>
          <w:szCs w:val="28"/>
        </w:rPr>
        <w:t>1.4. Nguyên nhân của hạn chế</w:t>
      </w:r>
    </w:p>
    <w:p w:rsidR="008615D9" w:rsidRPr="006F2068" w:rsidRDefault="002129CE">
      <w:pPr>
        <w:spacing w:line="360" w:lineRule="auto"/>
        <w:rPr>
          <w:rFonts w:eastAsia="Times New Roman"/>
          <w:szCs w:val="28"/>
        </w:rPr>
      </w:pPr>
      <w:r w:rsidRPr="006F2068">
        <w:rPr>
          <w:rFonts w:eastAsia="Times New Roman"/>
          <w:szCs w:val="28"/>
        </w:rPr>
        <w:t>Những hạn chế, bất cập nêu trên xuất phát từ nhiều nguyên nhân, cả về nhận thức, thể chế, cơ chế phối hợp, nguồn lực bảo đảm và tính chất ngày càng phức tạp của các vấn đề được giám sát. Trong đó, có thể khái quát một số nguyên nhân chủ yếu sau:</w:t>
      </w:r>
    </w:p>
    <w:p w:rsidR="006F2068" w:rsidRPr="006F2068" w:rsidRDefault="002129CE">
      <w:pPr>
        <w:spacing w:line="360" w:lineRule="auto"/>
        <w:rPr>
          <w:rFonts w:eastAsia="Times New Roman"/>
          <w:szCs w:val="28"/>
        </w:rPr>
      </w:pPr>
      <w:r w:rsidRPr="006F2068">
        <w:rPr>
          <w:rFonts w:eastAsia="Times New Roman"/>
          <w:i/>
          <w:szCs w:val="28"/>
        </w:rPr>
        <w:t>Nhận thức về vai trò lãnh đạo của Đảng đối với hoạt động giám sát của Quốc hội ở một số cấp, một số cơ quan chưa thật đầy đủ và thống nhất.</w:t>
      </w:r>
      <w:r w:rsidRPr="006F2068">
        <w:rPr>
          <w:rFonts w:eastAsia="Times New Roman"/>
          <w:b/>
          <w:i/>
          <w:szCs w:val="28"/>
        </w:rPr>
        <w:t xml:space="preserve"> </w:t>
      </w:r>
      <w:r w:rsidRPr="006F2068">
        <w:rPr>
          <w:rFonts w:eastAsia="Times New Roman"/>
          <w:szCs w:val="28"/>
        </w:rPr>
        <w:t xml:space="preserve">Trong một số trường hợp, giám sát vẫn được nhìn nhận chủ yếu như hoạt động xem xét báo cáo, phát hiện hạn chế và kiến nghị khắc phục, mà chưa được đặt đúng trong tổng thể cơ chế kiểm soát quyền lực của nhà nước, nâng cao trách nhiệm giải trình và phòng ngừa sai phạm. </w:t>
      </w:r>
    </w:p>
    <w:p w:rsidR="008615D9" w:rsidRPr="006F2068" w:rsidRDefault="002129CE">
      <w:pPr>
        <w:spacing w:line="360" w:lineRule="auto"/>
        <w:rPr>
          <w:szCs w:val="28"/>
        </w:rPr>
      </w:pPr>
      <w:r w:rsidRPr="006F2068">
        <w:rPr>
          <w:rFonts w:eastAsia="Times New Roman"/>
          <w:i/>
          <w:szCs w:val="28"/>
        </w:rPr>
        <w:t>Cơ chế lãnh đạo, chỉ đạo, phối hợp, kiểm tra và đôn đốc sau giám sát chưa thật rõ ràng, đồng bộ.</w:t>
      </w:r>
      <w:r w:rsidRPr="006F2068">
        <w:rPr>
          <w:rFonts w:eastAsia="Times New Roman"/>
          <w:b/>
          <w:i/>
          <w:szCs w:val="28"/>
        </w:rPr>
        <w:t xml:space="preserve"> </w:t>
      </w:r>
      <w:r w:rsidRPr="006F2068">
        <w:rPr>
          <w:rFonts w:eastAsia="Times New Roman"/>
          <w:szCs w:val="28"/>
        </w:rPr>
        <w:t xml:space="preserve">Hoạt động giám sát của Quốc hội liên quan đến nhiều chủ thể, gồm các cơ quan của Quốc hội, Chính phủ, bộ, ngành, địa phương, Kiểm toán Nhà nước, Thanh tra Chính phủ, Mặt trận Tổ quốc Việt Nam và các cơ quan của Đảng. Tuy nhiên, cơ chế phối hợp giữa các chủ thể này có lúc còn phụ thuộc vào từng vụ việc, từng chương trình giám sát, chưa hình thành đầy đủ quy trình liên </w:t>
      </w:r>
      <w:r w:rsidRPr="006F2068">
        <w:rPr>
          <w:rFonts w:eastAsia="Times New Roman"/>
          <w:szCs w:val="28"/>
        </w:rPr>
        <w:lastRenderedPageBreak/>
        <w:t>thông từ lựa chọn vấn đề, cung cấp thông tin, tổ chức giám sát đến theo dõi việc thực hiện kiến nghị sau giám sát</w:t>
      </w:r>
      <w:r w:rsidRPr="006F2068">
        <w:rPr>
          <w:rFonts w:eastAsia="Times New Roman"/>
          <w:b/>
          <w:i/>
          <w:szCs w:val="28"/>
        </w:rPr>
        <w:t>.</w:t>
      </w:r>
    </w:p>
    <w:p w:rsidR="008615D9" w:rsidRPr="006F2068" w:rsidRDefault="002129CE">
      <w:pPr>
        <w:spacing w:line="360" w:lineRule="auto"/>
        <w:rPr>
          <w:szCs w:val="28"/>
        </w:rPr>
      </w:pPr>
      <w:r w:rsidRPr="006F2068">
        <w:rPr>
          <w:rFonts w:eastAsia="Times New Roman"/>
          <w:i/>
          <w:szCs w:val="28"/>
        </w:rPr>
        <w:t>Pháp luật về giám sát tuy đã được hoàn thiện thêm nhưng vẫn cần tiếp tục cụ thể hóa một số nội dung về hậu giám sát.</w:t>
      </w:r>
      <w:r w:rsidRPr="006F2068">
        <w:rPr>
          <w:rFonts w:eastAsia="Times New Roman"/>
          <w:b/>
          <w:i/>
          <w:szCs w:val="28"/>
        </w:rPr>
        <w:t xml:space="preserve"> </w:t>
      </w:r>
      <w:r w:rsidRPr="006F2068">
        <w:rPr>
          <w:rFonts w:eastAsia="Times New Roman"/>
          <w:szCs w:val="28"/>
        </w:rPr>
        <w:t>Luật Hoạt động giám sát của Quốc hội và Hội đồng nhân dân năm 2025 đã tạo cơ sở pháp lý quan trọng cho hoạt động giám sát. Tuy nhiên, hiệu quả giám sát phụ thuộc rất lớn vào việc cơ quan chịu sự giám sát có thực hiện nghiêm túc nghị quyết, kết luận, kiến nghị sau giám sát hay không. Trong khi đó, cơ chế xác định trách nhiệm, chế tài đối với việc chậm thực hiện, thực hiện không đầy đủ hoặc né tránh kiến nghị giám sát vẫn là khâu cần tiếp tục hoàn thiện. Việc gắn kết quả giám sát với đánh giá trách nhiệm của cơ quan, tổ chức, cá nhân, nhất là người đứng đầu, ở một số trường hợp cũng chưa đủ rõ nên sức ép thực hiện kiến nghị sau giám sát chưa tương xứng</w:t>
      </w:r>
      <w:r w:rsidRPr="006F2068">
        <w:rPr>
          <w:rFonts w:eastAsia="Times New Roman"/>
          <w:b/>
          <w:i/>
          <w:szCs w:val="28"/>
        </w:rPr>
        <w:t>.</w:t>
      </w:r>
    </w:p>
    <w:p w:rsidR="008615D9" w:rsidRPr="006F2068" w:rsidRDefault="002129CE">
      <w:pPr>
        <w:spacing w:line="360" w:lineRule="auto"/>
        <w:rPr>
          <w:szCs w:val="28"/>
        </w:rPr>
      </w:pPr>
      <w:r w:rsidRPr="006F2068">
        <w:rPr>
          <w:rFonts w:eastAsia="Times New Roman"/>
          <w:i/>
          <w:szCs w:val="28"/>
        </w:rPr>
        <w:t>Nguồn lực phục vụ giám sát chưa đáp ứng đầy đủ yêu cầu thực tiễn.</w:t>
      </w:r>
      <w:r w:rsidRPr="006F2068">
        <w:rPr>
          <w:rFonts w:eastAsia="Times New Roman"/>
          <w:b/>
          <w:i/>
          <w:szCs w:val="28"/>
        </w:rPr>
        <w:t xml:space="preserve"> </w:t>
      </w:r>
      <w:r w:rsidRPr="006F2068">
        <w:rPr>
          <w:rFonts w:eastAsia="Times New Roman"/>
          <w:szCs w:val="28"/>
        </w:rPr>
        <w:t>Giám sát hiện đại không thể chỉ dựa vào báo cáo hành chính, mà cần dữ liệu đầy đủ, đáng tin cậy, chuyên gia độc lập, công cụ phân tích chính sách, năng lực đánh giá tác động và cơ chế theo dõi sau giám sát. Tuy nhiên, dữ liệu phục vụ giám sát còn phân tán; việc chia sẻ thông tin giữa các cơ quan chưa đồng bộ; đội ngũ tham mưu, chuyên gia và công cụ phân tích ở một số lĩnh vực còn hạn chế. Điều này ảnh hưởng đến khả năng phát hiện vấn đề sâu, đánh giá đúng nguyên nhân và kiến nghị giải pháp có tính khả thi</w:t>
      </w:r>
      <w:r w:rsidRPr="006F2068">
        <w:rPr>
          <w:rFonts w:eastAsia="Times New Roman"/>
          <w:b/>
          <w:i/>
          <w:szCs w:val="28"/>
        </w:rPr>
        <w:t>.</w:t>
      </w:r>
    </w:p>
    <w:p w:rsidR="008615D9" w:rsidRPr="006F2068" w:rsidRDefault="002129CE">
      <w:pPr>
        <w:spacing w:line="360" w:lineRule="auto"/>
        <w:rPr>
          <w:szCs w:val="28"/>
        </w:rPr>
      </w:pPr>
      <w:r w:rsidRPr="006F2068">
        <w:rPr>
          <w:rFonts w:eastAsia="Times New Roman"/>
          <w:i/>
          <w:szCs w:val="28"/>
        </w:rPr>
        <w:t>Nhiều vấn đề được giám sát có tính chất phức tạp, liên ngành, liên vùng và liên quan đến nhiều cấp quản lý.</w:t>
      </w:r>
      <w:r w:rsidRPr="006F2068">
        <w:rPr>
          <w:rFonts w:eastAsia="Times New Roman"/>
          <w:b/>
          <w:i/>
          <w:szCs w:val="28"/>
        </w:rPr>
        <w:t xml:space="preserve"> </w:t>
      </w:r>
      <w:r w:rsidRPr="006F2068">
        <w:rPr>
          <w:rFonts w:eastAsia="Times New Roman"/>
          <w:szCs w:val="28"/>
        </w:rPr>
        <w:t>Các lĩnh vực như tài chính công, tài sản công, đất đai, bất động sản, môi trường, y tế, giáo dục, chuyển đổi số, sắp xếp tổ chức bộ máy đều đòi hỏi thông tin từ nhiều nguồn và trách nhiệm của nhiều cơ quan. Trong khi đó, việc quy trách nhiệm đối với các vấn đề liên ngành còn khó khăn; có trường hợp trách nhiệm bị phân tán giữa Trung ương và địa phương, giữa cơ quan ban hành chính sách và cơ quan tổ chức thực hiện. Đây là nguyên nhân làm cho một số kết luận, kiến nghị sau giám sát chưa tạo được chuyển biến nhanh và rõ trong thực tiễn.</w:t>
      </w:r>
    </w:p>
    <w:p w:rsidR="008615D9" w:rsidRPr="00AB4534" w:rsidRDefault="002129CE">
      <w:pPr>
        <w:spacing w:line="360" w:lineRule="auto"/>
        <w:rPr>
          <w:spacing w:val="-2"/>
          <w:szCs w:val="28"/>
        </w:rPr>
      </w:pPr>
      <w:r w:rsidRPr="00AB4534">
        <w:rPr>
          <w:rFonts w:eastAsia="Times New Roman"/>
          <w:i/>
          <w:spacing w:val="-2"/>
          <w:szCs w:val="28"/>
        </w:rPr>
        <w:lastRenderedPageBreak/>
        <w:t>Cơ chế bảo đảm tính độc lập, khách quan và chiều sâu chuyên môn trong một số hoạt động giám sát còn hạn chế.</w:t>
      </w:r>
      <w:r w:rsidRPr="00AB4534">
        <w:rPr>
          <w:rFonts w:eastAsia="Times New Roman"/>
          <w:b/>
          <w:i/>
          <w:spacing w:val="-2"/>
          <w:szCs w:val="28"/>
        </w:rPr>
        <w:t xml:space="preserve"> </w:t>
      </w:r>
      <w:r w:rsidRPr="00AB4534">
        <w:rPr>
          <w:rFonts w:eastAsia="Times New Roman"/>
          <w:spacing w:val="-2"/>
          <w:szCs w:val="28"/>
        </w:rPr>
        <w:t>Hoạt động giám sát ở một số trường hợp vẫn phụ thuộc khá lớn vào báo cáo, giải trình và dữ liệu do cơ quan chịu sự giám sát cung cấp. Trong khi đó, việc huy động chuyên gia độc lập, khảo sát thực địa, tham vấn đối tượng chịu tác động, sử dụng dữ liệu đối chứng và báo cáo phân tích độc lập chưa thật thường xuyên. Điều này có thể làm giảm tính khách quan, chiều sâu phân tích và khả năng phát hiện vấn đề từ gốc, nhất là trong các lĩnh vực phức tạp như tài chính công, đất đai, đầu tư công, môi trường, y tế, giáo dục và chuyển đổi số.</w:t>
      </w:r>
    </w:p>
    <w:p w:rsidR="008615D9" w:rsidRPr="006F2068" w:rsidRDefault="002129CE">
      <w:pPr>
        <w:keepNext/>
        <w:spacing w:line="360" w:lineRule="auto"/>
        <w:outlineLvl w:val="1"/>
        <w:rPr>
          <w:szCs w:val="28"/>
        </w:rPr>
      </w:pPr>
      <w:r w:rsidRPr="006F2068">
        <w:rPr>
          <w:rFonts w:eastAsia="Times New Roman"/>
          <w:b/>
          <w:bCs/>
          <w:szCs w:val="28"/>
        </w:rPr>
        <w:t>2. Một số giải pháp nâng cao hiệu lực, hiệu quả hoạt động giám sát của Quốc hội trong thời gian tới</w:t>
      </w:r>
    </w:p>
    <w:p w:rsidR="008615D9" w:rsidRPr="006F2068" w:rsidRDefault="002129CE">
      <w:pPr>
        <w:spacing w:line="360" w:lineRule="auto"/>
        <w:rPr>
          <w:szCs w:val="28"/>
        </w:rPr>
      </w:pPr>
      <w:r w:rsidRPr="006F2068">
        <w:rPr>
          <w:rFonts w:eastAsia="Times New Roman"/>
          <w:bCs/>
          <w:szCs w:val="28"/>
        </w:rPr>
        <w:t>Trong bối cảnh xây dựng Nhà nước pháp quyền xã hội chủ nghĩa Việt Nam, phòng, chống tham nhũng, lãng phí, tiêu cực, sắp xếp tổ chức bộ máy, phân cấp, phân quyền và chuyển đổi số, các nhiệm vụ, giải pháp cần tập trung vào những khâu có khả năng tạo chuyển biến thực chất, tránh dàn trải, hình thức, do đó cần tập trung vào một số nhiệm vụ, giải pháp chủ yếu sau:</w:t>
      </w:r>
    </w:p>
    <w:p w:rsidR="008615D9" w:rsidRPr="006F2068" w:rsidRDefault="002129CE">
      <w:pPr>
        <w:keepNext/>
        <w:spacing w:line="360" w:lineRule="auto"/>
        <w:rPr>
          <w:rFonts w:eastAsia="Times New Roman"/>
          <w:bCs/>
          <w:i/>
          <w:szCs w:val="28"/>
        </w:rPr>
      </w:pPr>
      <w:r w:rsidRPr="006F2068">
        <w:rPr>
          <w:rFonts w:eastAsia="Times New Roman"/>
          <w:bCs/>
          <w:i/>
          <w:szCs w:val="28"/>
        </w:rPr>
        <w:t>2.1. Tiếp tục đổi mới phương thức lãnh đạo của Đảng đối với hoạt động giám sát của Quốc hội</w:t>
      </w:r>
    </w:p>
    <w:p w:rsidR="008615D9" w:rsidRPr="006F2068" w:rsidRDefault="002129CE">
      <w:pPr>
        <w:spacing w:line="360" w:lineRule="auto"/>
        <w:rPr>
          <w:rFonts w:eastAsia="Times New Roman"/>
          <w:bCs/>
          <w:szCs w:val="28"/>
        </w:rPr>
      </w:pPr>
      <w:r w:rsidRPr="006F2068">
        <w:rPr>
          <w:rFonts w:eastAsia="Times New Roman"/>
          <w:bCs/>
          <w:szCs w:val="28"/>
        </w:rPr>
        <w:t>Cần bảo đảm sự lãnh đạo toàn diện, thống nhất của Đảng nhưng không hành chính hóa hoặc làm thay hoạt động của Quốc hội. Sự lãnh đạo của Đảng cần tập trung vào định hướng chính trị, xác định chủ trương lớn, lãnh đạo thể chế hóa, kiểm tra, đôn đốc và đánh giá kết quả sau giám sát; đồng thời phát huy đầy đủ thẩm quyền, trách nhiệm và tính chủ động của Quốc hội trong thực hiện chức năng giám sát tối cao.</w:t>
      </w:r>
    </w:p>
    <w:p w:rsidR="008615D9" w:rsidRPr="006F2068" w:rsidRDefault="002129CE">
      <w:pPr>
        <w:keepNext/>
        <w:spacing w:line="360" w:lineRule="auto"/>
        <w:rPr>
          <w:rFonts w:eastAsia="Times New Roman"/>
          <w:bCs/>
          <w:i/>
          <w:szCs w:val="28"/>
        </w:rPr>
      </w:pPr>
      <w:r w:rsidRPr="006F2068">
        <w:rPr>
          <w:rFonts w:eastAsia="Times New Roman"/>
          <w:bCs/>
          <w:i/>
          <w:szCs w:val="28"/>
        </w:rPr>
        <w:t>2.2. Hoàn thiện thể chế, pháp luật về hoạt động giám sát của Quốc hội</w:t>
      </w:r>
    </w:p>
    <w:p w:rsidR="008615D9" w:rsidRPr="006F2068" w:rsidRDefault="002129CE">
      <w:pPr>
        <w:spacing w:line="360" w:lineRule="auto"/>
        <w:rPr>
          <w:rFonts w:eastAsia="Times New Roman"/>
          <w:bCs/>
          <w:szCs w:val="28"/>
        </w:rPr>
      </w:pPr>
      <w:r w:rsidRPr="006F2068">
        <w:rPr>
          <w:rFonts w:eastAsia="Times New Roman"/>
          <w:bCs/>
          <w:szCs w:val="28"/>
        </w:rPr>
        <w:t>Cần tiếp tục rà soát, sửa đổi, bổ sung các quy định pháp luật về giám sát theo hướng rõ thẩm quyền, rõ trách nhiệm, rõ quy trình và rõ điều kiện bảo đảm. Trọng tâm là hoàn thiện quy định về giám sát chuyên đề, chất vấn, giám sát văn bản quy phạm pháp luật, giám sát giải quyết khiếu nại, tố cáo, kiến nghị của cử tri; đồng thời bảo đảm sự thống nhất giữa giám sát của Quốc hội với kiểm tra của Đảng, thanh tra, kiểm toán và các cơ chế kiểm soát quyền lực khác.</w:t>
      </w:r>
    </w:p>
    <w:p w:rsidR="008615D9" w:rsidRPr="006F2068" w:rsidRDefault="002129CE">
      <w:pPr>
        <w:keepNext/>
        <w:spacing w:line="360" w:lineRule="auto"/>
        <w:rPr>
          <w:rFonts w:eastAsia="Times New Roman"/>
          <w:bCs/>
          <w:i/>
          <w:szCs w:val="28"/>
        </w:rPr>
      </w:pPr>
      <w:r w:rsidRPr="006F2068">
        <w:rPr>
          <w:rFonts w:eastAsia="Times New Roman"/>
          <w:bCs/>
          <w:i/>
          <w:szCs w:val="28"/>
        </w:rPr>
        <w:lastRenderedPageBreak/>
        <w:t>2.3. Nâng cao hiệu lực hậu giám sát và trách nhiệm thực hiện kết luận, kiến nghị giám sát</w:t>
      </w:r>
    </w:p>
    <w:p w:rsidR="008615D9" w:rsidRPr="006F2068" w:rsidRDefault="002129CE">
      <w:pPr>
        <w:spacing w:line="360" w:lineRule="auto"/>
        <w:rPr>
          <w:rFonts w:eastAsia="Times New Roman"/>
          <w:bCs/>
          <w:szCs w:val="28"/>
        </w:rPr>
      </w:pPr>
      <w:r w:rsidRPr="006F2068">
        <w:rPr>
          <w:rFonts w:eastAsia="Times New Roman"/>
          <w:bCs/>
          <w:szCs w:val="28"/>
        </w:rPr>
        <w:t>Mỗi kết luận, kiến nghị sau giám sát cần rõ nội dung, rõ cơ quan chịu trách nhiệm, rõ thời hạn, rõ tiêu chí đánh giá và rõ cơ chế xử lý nếu chậm thực hiện hoặc thực hiện không đầy đủ. Cần coi kết quả thực hiện kiến nghị sau giám sát là thước đo quan trọng về hiệu lực giám sát, đồng thời gắn với trách nhiệm chính trị, hành chính, pháp lý của cơ quan, tổ chức, cá nhân có liên quan, nhất là người đứng đầu.</w:t>
      </w:r>
    </w:p>
    <w:p w:rsidR="008615D9" w:rsidRPr="00AB4534" w:rsidRDefault="002129CE">
      <w:pPr>
        <w:keepNext/>
        <w:spacing w:line="360" w:lineRule="auto"/>
        <w:rPr>
          <w:rFonts w:eastAsia="Times New Roman"/>
          <w:bCs/>
          <w:i/>
          <w:spacing w:val="-4"/>
          <w:szCs w:val="28"/>
        </w:rPr>
      </w:pPr>
      <w:r w:rsidRPr="00AB4534">
        <w:rPr>
          <w:rFonts w:eastAsia="Times New Roman"/>
          <w:bCs/>
          <w:i/>
          <w:spacing w:val="-4"/>
          <w:szCs w:val="28"/>
        </w:rPr>
        <w:t>2.4. Nâng cao chất lượng lựa chọn nội dung, phương pháp và quy trình giám sát</w:t>
      </w:r>
    </w:p>
    <w:p w:rsidR="008615D9" w:rsidRPr="006F2068" w:rsidRDefault="002129CE">
      <w:pPr>
        <w:spacing w:line="360" w:lineRule="auto"/>
        <w:rPr>
          <w:rFonts w:eastAsia="Times New Roman"/>
          <w:bCs/>
          <w:szCs w:val="28"/>
        </w:rPr>
      </w:pPr>
      <w:r w:rsidRPr="006F2068">
        <w:rPr>
          <w:rFonts w:eastAsia="Times New Roman"/>
          <w:bCs/>
          <w:szCs w:val="28"/>
        </w:rPr>
        <w:t>Nội dung giám sát cần được lựa chọn có trọng tâm, trọng điểm, dựa trên yêu cầu chính trị, pháp lý, thực tiễn, mức độ tác động xã hội và khả năng tạo chuyển biến sau giám sát. Cần ưu tiên các lĩnh vực dễ phát sinh tham nhũng, lãng phí, tiêu cực; các chương trình, dự án lớn; quản lý tài chính công, tài sản công; đất đai, môi trường, bất động sản, nhà ở xã hội; cải cách hành chính, tổ chức bộ máy, chuyển đổi số, an sinh xã hội và giải quyết kiến nghị của cử tri. Phương pháp giám sát cần kết hợp báo cáo với khảo sát thực tế, tham vấn chuyên gia, lấy ý kiến đối tượng chịu tác động, khai thác kết quả thanh tra, kiểm toán và phân tích dữ liệu độc lập.</w:t>
      </w:r>
    </w:p>
    <w:p w:rsidR="008615D9" w:rsidRPr="006F2068" w:rsidRDefault="002129CE">
      <w:pPr>
        <w:keepNext/>
        <w:spacing w:line="360" w:lineRule="auto"/>
        <w:rPr>
          <w:rFonts w:eastAsia="Times New Roman"/>
          <w:bCs/>
          <w:i/>
          <w:szCs w:val="28"/>
        </w:rPr>
      </w:pPr>
      <w:r w:rsidRPr="006F2068">
        <w:rPr>
          <w:rFonts w:eastAsia="Times New Roman"/>
          <w:bCs/>
          <w:i/>
          <w:szCs w:val="28"/>
        </w:rPr>
        <w:t>2.5. Tăng cường phối hợp giữa Quốc hội với các cơ quan kiểm tra, thanh tra, kiểm toán, Mặt trận Tổ quốc Việt Nam và Nhân dân</w:t>
      </w:r>
    </w:p>
    <w:p w:rsidR="008615D9" w:rsidRPr="006F2068" w:rsidRDefault="002129CE">
      <w:pPr>
        <w:spacing w:line="360" w:lineRule="auto"/>
        <w:rPr>
          <w:rFonts w:eastAsia="Times New Roman"/>
          <w:bCs/>
          <w:szCs w:val="28"/>
        </w:rPr>
      </w:pPr>
      <w:r w:rsidRPr="006F2068">
        <w:rPr>
          <w:rFonts w:eastAsia="Times New Roman"/>
          <w:bCs/>
          <w:szCs w:val="28"/>
        </w:rPr>
        <w:t>Cần xây dựng cơ chế phối hợp thường xuyên, thực chất giữa Quốc hội với các cơ quan của Đảng, Chính phủ, Kiểm toán Nhà nước, Thanh tra Chính phủ, Mặt trận Tổ quốc Việt Nam và các cơ quan hữu quan. Sự phối hợp phải được thực hiện từ khâu cung cấp thông tin, lựa chọn nội dung giám sát, tổ chức giám sát, xử lý kết quả đến theo dõi việc thực hiện kiến nghị sau giám sát. Mục tiêu là hạn chế trùng lặp, chồng chéo, phát huy tính bổ trợ giữa các thiết chế kiểm soát quyền lực và bảo đảm kết quả giám sát được xử lý đến cùng.</w:t>
      </w:r>
    </w:p>
    <w:p w:rsidR="008615D9" w:rsidRPr="006F2068" w:rsidRDefault="002129CE">
      <w:pPr>
        <w:keepNext/>
        <w:spacing w:line="360" w:lineRule="auto"/>
        <w:rPr>
          <w:rFonts w:eastAsia="Times New Roman"/>
          <w:bCs/>
          <w:i/>
          <w:szCs w:val="28"/>
        </w:rPr>
      </w:pPr>
      <w:r w:rsidRPr="006F2068">
        <w:rPr>
          <w:rFonts w:eastAsia="Times New Roman"/>
          <w:bCs/>
          <w:i/>
          <w:szCs w:val="28"/>
        </w:rPr>
        <w:t>2.6. Đẩy mạnh chuyển đổi số, xây dựng cơ sở dữ liệu và nâng cao năng lực phục vụ giám sát</w:t>
      </w:r>
    </w:p>
    <w:p w:rsidR="008615D9" w:rsidRPr="006F2068" w:rsidRDefault="002129CE">
      <w:pPr>
        <w:spacing w:line="360" w:lineRule="auto"/>
        <w:rPr>
          <w:rFonts w:eastAsia="Times New Roman"/>
          <w:szCs w:val="28"/>
        </w:rPr>
      </w:pPr>
      <w:r w:rsidRPr="006F2068">
        <w:rPr>
          <w:rFonts w:eastAsia="Times New Roman"/>
          <w:bCs/>
          <w:szCs w:val="28"/>
        </w:rPr>
        <w:t xml:space="preserve">Cần xây dựng hệ thống dữ liệu phục vụ giám sát của Quốc hội, kết nối với dữ liệu của Chính phủ, Kiểm toán Nhà nước, Thanh tra Chính phủ, các bộ, ngành, địa phương và cơ quan liên quan. Trọng tâm là chuẩn hóa chế độ báo cáo, số hóa hồ </w:t>
      </w:r>
      <w:r w:rsidRPr="006F2068">
        <w:rPr>
          <w:rFonts w:eastAsia="Times New Roman"/>
          <w:bCs/>
          <w:szCs w:val="28"/>
        </w:rPr>
        <w:lastRenderedPageBreak/>
        <w:t>sơ giám sát, xây dựng công cụ theo dõi kiến nghị sau giám sát, tăng cường phân tích dữ liệu, đánh giá tác động chính sách và cảnh báo sớm rủi ro. Đồng thời, cần nâng cao năng lực của đại biểu Quốc hội, cơ quan của Quốc hội và đội ngũ tham mưu, giúp việc về phân tích chính sách, đọc hiểu dữ liệu, chất vấn dựa trên bằng chứng và theo dõi hậu giám sát.</w:t>
      </w:r>
    </w:p>
    <w:p w:rsidR="008615D9" w:rsidRPr="006F2068" w:rsidRDefault="002129CE">
      <w:pPr>
        <w:keepNext/>
        <w:spacing w:line="360" w:lineRule="auto"/>
        <w:outlineLvl w:val="1"/>
        <w:rPr>
          <w:szCs w:val="28"/>
        </w:rPr>
      </w:pPr>
      <w:r w:rsidRPr="006F2068">
        <w:rPr>
          <w:rFonts w:eastAsia="Times New Roman"/>
          <w:b/>
          <w:bCs/>
          <w:szCs w:val="28"/>
        </w:rPr>
        <w:t>3. Kết luận</w:t>
      </w:r>
    </w:p>
    <w:p w:rsidR="008615D9" w:rsidRPr="006F2068" w:rsidRDefault="002129CE">
      <w:pPr>
        <w:spacing w:line="360" w:lineRule="auto"/>
        <w:rPr>
          <w:rFonts w:eastAsia="Times New Roman"/>
          <w:szCs w:val="28"/>
        </w:rPr>
      </w:pPr>
      <w:r w:rsidRPr="006F2068">
        <w:rPr>
          <w:rFonts w:eastAsia="Times New Roman"/>
          <w:szCs w:val="28"/>
        </w:rPr>
        <w:t>Sự lãnh đạo của Đảng là nhân tố có ý nghĩa quyết định đối với định hướng chính trị, chất lượng, hiệu lực và hiệu quả hoạt động giám sát của Quốc hội. Trong điều kiện xây dựng và hoàn thiện Nhà nước pháp quyền xã hội chủ nghĩa Việt Nam, giám sát của Quốc hội không chỉ là việc xem xét, đánh giá quá trình thực hiện chính sách, pháp luật, mà còn là phương thức quan trọng để kiểm soát quyền lực nhà nước, nâng cao trách nhiệm giải trình, phòng ngừa sai phạm và thúc đẩy hoàn thiện thể chế.</w:t>
      </w:r>
    </w:p>
    <w:p w:rsidR="008615D9" w:rsidRPr="006F2068" w:rsidRDefault="002129CE">
      <w:pPr>
        <w:spacing w:line="360" w:lineRule="auto"/>
        <w:rPr>
          <w:rFonts w:eastAsia="Times New Roman"/>
          <w:szCs w:val="28"/>
        </w:rPr>
      </w:pPr>
      <w:r w:rsidRPr="006F2068">
        <w:rPr>
          <w:rFonts w:eastAsia="Times New Roman"/>
          <w:szCs w:val="28"/>
        </w:rPr>
        <w:t>Thực tiễn thời gian qua cho thấy, dưới sự lãnh đạo của Đảng, hoạt động giám sát của Quốc hội đã có nhiều đổi mới về nội dung, phương thức và hiệu quả tác động</w:t>
      </w:r>
      <w:r w:rsidR="006F2068" w:rsidRPr="006F2068">
        <w:rPr>
          <w:rFonts w:eastAsia="Times New Roman"/>
          <w:szCs w:val="28"/>
        </w:rPr>
        <w:t xml:space="preserve">. </w:t>
      </w:r>
      <w:r w:rsidRPr="006F2068">
        <w:rPr>
          <w:rFonts w:eastAsia="Times New Roman"/>
          <w:szCs w:val="28"/>
        </w:rPr>
        <w:t>Tuy nhiên, hoạt động giám sát vẫn còn một số hạn chế về lựa chọn nội dung, chất lượng thông tin, dữ liệu, cơ chế phối hợp, năng lực phân tích và hiệu lực thực hiện kiến nghị sau giám sát.</w:t>
      </w:r>
    </w:p>
    <w:p w:rsidR="008615D9" w:rsidRPr="006F2068" w:rsidRDefault="002129CE">
      <w:pPr>
        <w:spacing w:line="360" w:lineRule="auto"/>
        <w:rPr>
          <w:rFonts w:eastAsia="Times New Roman"/>
          <w:szCs w:val="28"/>
        </w:rPr>
      </w:pPr>
      <w:r w:rsidRPr="006F2068">
        <w:rPr>
          <w:rFonts w:eastAsia="Times New Roman"/>
          <w:szCs w:val="28"/>
        </w:rPr>
        <w:t>Trong thời gian tới, cần tiếp tục đổi mới phương thức lãnh đạo của Đảng đối với hoạt động giám sát của Quốc hội theo hướng bảo đảm sự lãnh đạo toàn diện, thống nhất nhưng không hành chính hóa hoặc làm thay Quốc hội. Trọng tâm là hoàn thiện thể chế, nâng cao chất lượng lựa chọn nội dung và phương pháp giám sát, tăng cường hậu giám sát, xác định rõ trách nhiệm của cơ quan chịu sự giám sát, phát huy phối hợp giữa các thiết chế kiểm soát quyền lực, đẩy mạnh chuyển đổi số và bảo đảm nguồn lực phục vụ giám sát. Chỉ khi kết luận, kiến nghị sau giám sát được thực hiện nghiêm túc, hoạt động giám sát của Quốc hội mới thực sự tạo chuyển biến trong quản lý nhà nước, củng cố kỷ luật, kỷ cương và đáp ứng yêu cầu phát triển đất nước trong giai đoạn mới.</w:t>
      </w:r>
    </w:p>
    <w:p w:rsidR="008615D9" w:rsidRPr="006F2068" w:rsidRDefault="002129CE">
      <w:pPr>
        <w:pStyle w:val="Heading2"/>
        <w:keepNext/>
        <w:spacing w:before="0" w:after="0" w:line="360" w:lineRule="auto"/>
        <w:ind w:firstLine="720"/>
        <w:jc w:val="both"/>
        <w:rPr>
          <w:sz w:val="28"/>
          <w:szCs w:val="28"/>
        </w:rPr>
      </w:pPr>
      <w:r w:rsidRPr="006F2068">
        <w:rPr>
          <w:sz w:val="28"/>
          <w:szCs w:val="28"/>
        </w:rPr>
        <w:lastRenderedPageBreak/>
        <w:t>TÀI LIỆU THAM KHẢO</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Ban Chấp hành Trung ương (2021), Kết luận số 21-KL/TW ngày 25/10/2021 về đẩy mạnh xây dựng, chỉnh đốn Đảng và hệ thống chính trị; kiên quyết ngăn chặn, đẩy lùi, xử lý nghiêm cán bộ, đảng viên suy thoái về tư tưởng chính trị, đạo đức, lối sống, biểu hiện “tự diễn biến”, “tự chuyển hóa”.</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Ban Chấp hành Trung ương (2022), Nghị quyết số 27-NQ/TW ngày 09/11/2022 về tiếp tục xây dựng và hoàn thiện Nhà nước pháp quyền xã hội chủ nghĩa Việt Nam trong giai đoạn mới.</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Ban Chấp hành Trung ương (2022), Nghị quyết số 28-NQ/TW ngày 17/11/2022 về tiếp tục đổi mới phương thức lãnh đạo, cầm quyền của Đảng đối với hệ thống chính trị trong giai đoạn mới.</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Bộ Chính trị (2024), Nghị quyết số 57-NQ/TW ngày 22/12/2024 về đột phá phát triển khoa học, công nghệ, đổi mới sáng tạo và chuyển đổi số quốc gia.</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Quốc hội (2013), Hiến pháp nước Cộng hòa xã hội chủ nghĩa Việt Nam năm 2013.</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Quốc hội (2020), Luật số 65/2020/QH14 sửa đổi, bổ sung một số điều của Luật Tổ chức Quốc hội.</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Quốc hội (2022), Nghị quyết số 51/2022/QH15 về thành lập Đoàn giám sát chuyên đề “Việc huy động, quản lý và sử dụng các nguồn lực phục vụ công tác phòng, chống dịch COVID-19; việc thực hiện chính sách, pháp luật về y tế cơ sở, y tế dự phòng”.</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Quốc hội (2023), Nghị quyết số 90/2023/QH15 về Chương trình giám sát của Quốc hội năm 2024.</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Quốc hội (2023), Nghị quyết số 108/2023/QH15 về giám sát chuyên đề việc triển khai thực hiện các nghị quyết của Quốc hội về các Chương trình mục tiêu quốc gia.</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Quốc hội (2023), Nghị quyết số 109/2023/QH15 ngày 29/11/2023 về tiếp tục thực hiện một số nghị quyết của Quốc hội khóa XIV và từ đầu nhiệm kỳ khóa XV đến hết Kỳ họp thứ 4 về giám sát chuyên đề, chất vấn.</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lastRenderedPageBreak/>
        <w:t>Quốc hội (2024), Nghị quyết số 130/2024/QH15 ngày 08/6/2024 về Chương trình giám sát của Quốc hội năm 2025.</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Quốc hội (2024), Nghị quyết số 131/2024/QH15 về thành lập Đoàn giám sát chuyên đề “Việc thực hiện chính sách, pháp luật về bảo vệ môi trường kể từ khi Luật Bảo vệ môi trường năm 2020 có hiệu lực thi hành”.</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Quốc hội (2025), Luật số 62/2025/QH15 sửa đổi, bổ sung một số điều của Luật Tổ chức Quốc hội.</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Quốc hội (2025), Luật số 121/2025/QH15 ngày 10/12/2025, Luật Hoạt động giám sát của Quốc hội và Hội đồng nhân dân.</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Quốc hội (2025), Nghị quyết số 207/2025/QH15 ngày 24/6/2025 về Chương trình giám sát của Quốc hội năm 2026.</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Quốc hội (2025), Nghị quyết số 263/2025/QH15 ngày 11/12/2025 về tiếp tục thực hiện các nghị quyết của Quốc hội khóa XIV và khóa XV về giám sát chuyên đề và chất vấn.</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Ủy ban Thường vụ Quốc hội (2022), Nghị quyết số 560/NQ-UBTVQH15 ngày 22/7/2022 hướng dẫn việc tổ chức thực hiện hoạt động giám sát văn bản quy phạm pháp luật của Hội đồng Dân tộc, Ủy ban của Quốc hội.</w:t>
      </w:r>
    </w:p>
    <w:p w:rsidR="008615D9" w:rsidRPr="006F2068" w:rsidRDefault="002129CE">
      <w:pPr>
        <w:pStyle w:val="isselectedend"/>
        <w:numPr>
          <w:ilvl w:val="0"/>
          <w:numId w:val="2"/>
        </w:numPr>
        <w:spacing w:before="0" w:after="0" w:line="360" w:lineRule="auto"/>
        <w:ind w:left="0" w:firstLine="426"/>
        <w:jc w:val="both"/>
        <w:rPr>
          <w:sz w:val="28"/>
          <w:szCs w:val="28"/>
        </w:rPr>
      </w:pPr>
      <w:r w:rsidRPr="006F2068">
        <w:rPr>
          <w:sz w:val="28"/>
          <w:szCs w:val="28"/>
        </w:rPr>
        <w:t>Ủy ban Thường vụ Quốc hội (2022), Nghị quyết số 594/NQ-UBTVQH15 ngày 12/9/2022 hướng dẫn hoạt động giám sát của Hội đồng nhân dân, Thường trực Hội đồng nhân dân, Ban của Hội đồng nhân dân, Tổ đại biểu Hội đồng nhân dân và đại biểu Hội đồng nhân dân.</w:t>
      </w:r>
    </w:p>
    <w:p w:rsidR="008615D9" w:rsidRPr="006F2068" w:rsidRDefault="008615D9">
      <w:pPr>
        <w:spacing w:line="360" w:lineRule="auto"/>
        <w:rPr>
          <w:rFonts w:eastAsia="Times New Roman"/>
          <w:szCs w:val="28"/>
        </w:rPr>
      </w:pPr>
    </w:p>
    <w:sectPr w:rsidR="008615D9" w:rsidRPr="006F2068" w:rsidSect="0003586F">
      <w:footerReference w:type="default" r:id="rId8"/>
      <w:pgSz w:w="11906" w:h="16838"/>
      <w:pgMar w:top="1134" w:right="1134" w:bottom="1077" w:left="1440" w:header="0" w:footer="0" w:gutter="0"/>
      <w:cols w:space="720"/>
      <w:formProt w:val="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332" w:rsidRDefault="007A4332">
      <w:r>
        <w:separator/>
      </w:r>
    </w:p>
  </w:endnote>
  <w:endnote w:type="continuationSeparator" w:id="0">
    <w:p w:rsidR="007A4332" w:rsidRDefault="007A4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1"/>
    <w:family w:val="roman"/>
    <w:pitch w:val="variable"/>
  </w:font>
  <w:font w:name="Noto Sans">
    <w:altName w:val="Times New Roman"/>
    <w:panose1 w:val="00000000000000000000"/>
    <w:charset w:val="00"/>
    <w:family w:val="roman"/>
    <w:notTrueType/>
    <w:pitch w:val="default"/>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7498519"/>
      <w:docPartObj>
        <w:docPartGallery w:val="Page Numbers (Bottom of Page)"/>
        <w:docPartUnique/>
      </w:docPartObj>
    </w:sdtPr>
    <w:sdtEndPr>
      <w:rPr>
        <w:noProof/>
      </w:rPr>
    </w:sdtEndPr>
    <w:sdtContent>
      <w:p w:rsidR="0003586F" w:rsidRDefault="0003586F">
        <w:pPr>
          <w:pStyle w:val="Footer"/>
          <w:jc w:val="center"/>
        </w:pPr>
        <w:r>
          <w:fldChar w:fldCharType="begin"/>
        </w:r>
        <w:r>
          <w:instrText xml:space="preserve"> PAGE   \* MERGEFORMAT </w:instrText>
        </w:r>
        <w:r>
          <w:fldChar w:fldCharType="separate"/>
        </w:r>
        <w:r w:rsidR="006A19F0">
          <w:rPr>
            <w:noProof/>
          </w:rPr>
          <w:t>1</w:t>
        </w:r>
        <w:r>
          <w:rPr>
            <w:noProof/>
          </w:rPr>
          <w:fldChar w:fldCharType="end"/>
        </w:r>
      </w:p>
    </w:sdtContent>
  </w:sdt>
  <w:p w:rsidR="0003586F" w:rsidRDefault="000358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332" w:rsidRDefault="007A4332">
      <w:r>
        <w:separator/>
      </w:r>
    </w:p>
  </w:footnote>
  <w:footnote w:type="continuationSeparator" w:id="0">
    <w:p w:rsidR="007A4332" w:rsidRDefault="007A4332">
      <w:r>
        <w:continuationSeparator/>
      </w:r>
    </w:p>
  </w:footnote>
  <w:footnote w:id="1">
    <w:p w:rsidR="00FC5843" w:rsidRDefault="00FC5843" w:rsidP="00FC5843">
      <w:pPr>
        <w:pStyle w:val="FootnoteText"/>
        <w:ind w:firstLine="142"/>
      </w:pPr>
      <w:r w:rsidRPr="00FC5843">
        <w:rPr>
          <w:rStyle w:val="FootnoteReference"/>
        </w:rPr>
        <w:sym w:font="Symbol" w:char="F02A"/>
      </w:r>
      <w:r>
        <w:t xml:space="preserve"> PGS.TS. </w:t>
      </w:r>
      <w:r>
        <w:rPr>
          <w:rFonts w:eastAsia="Times New Roman"/>
          <w:bCs/>
        </w:rPr>
        <w:t>Học viện Khoa học xã hội, Viện Hàn lâm Khoa học xã hội Việt Nam.</w:t>
      </w:r>
      <w:bookmarkStart w:id="0" w:name="_GoBack"/>
      <w:bookmarkEnd w:id="0"/>
    </w:p>
  </w:footnote>
  <w:footnote w:id="2">
    <w:p w:rsidR="008615D9" w:rsidRDefault="002129CE" w:rsidP="00FC5843">
      <w:pPr>
        <w:pStyle w:val="FootnoteText"/>
        <w:spacing w:after="40"/>
        <w:ind w:firstLine="142"/>
      </w:pPr>
      <w:r>
        <w:rPr>
          <w:vertAlign w:val="superscript"/>
        </w:rPr>
        <w:footnoteRef/>
      </w:r>
      <w:r>
        <w:rPr>
          <w:sz w:val="22"/>
          <w:szCs w:val="22"/>
        </w:rPr>
        <w:t xml:space="preserve"> Ban Chấp hành Trung ương (2022), Nghị quyết số 27-NQ/TW ngày 09/11/2022 về tiếp tục xây dựng và hoàn thiện Nhà nước pháp quyền xã hội chủ nghĩa Việt Nam trong giai đoạn mới.</w:t>
      </w:r>
    </w:p>
  </w:footnote>
  <w:footnote w:id="3">
    <w:p w:rsidR="008615D9" w:rsidRDefault="002129CE" w:rsidP="00FC5843">
      <w:pPr>
        <w:pStyle w:val="FootnoteText"/>
        <w:spacing w:after="40"/>
        <w:ind w:firstLine="142"/>
      </w:pPr>
      <w:r>
        <w:rPr>
          <w:vertAlign w:val="superscript"/>
        </w:rPr>
        <w:footnoteRef/>
      </w:r>
      <w:r>
        <w:rPr>
          <w:sz w:val="22"/>
          <w:szCs w:val="22"/>
        </w:rPr>
        <w:t xml:space="preserve"> Ban Chấp hành Trung ương (2022), Nghị quyết số 28-NQ/TW ngày 17/11/2022 về tiếp tục đổi mới phương thức lãnh đạo, cầm quyền của Đảng đối với hệ thống chính trị trong giai đoạn mới.</w:t>
      </w:r>
    </w:p>
  </w:footnote>
  <w:footnote w:id="4">
    <w:p w:rsidR="008615D9" w:rsidRDefault="002129CE" w:rsidP="00FC5843">
      <w:pPr>
        <w:pStyle w:val="FootnoteText"/>
        <w:spacing w:after="40"/>
        <w:ind w:firstLine="142"/>
      </w:pPr>
      <w:r>
        <w:rPr>
          <w:vertAlign w:val="superscript"/>
        </w:rPr>
        <w:footnoteRef/>
      </w:r>
      <w:r>
        <w:rPr>
          <w:sz w:val="22"/>
          <w:szCs w:val="22"/>
        </w:rPr>
        <w:t xml:space="preserve"> Quốc hội (2020), Luật số 65/2020/QH14 sửa đổi, bổ sung một số điều của Luật Tổ chức Quốc hội; Quốc hội (2025), Luật số 62/2025/QH15 sửa đổi, bổ sung một số điều của Luật Tổ chức Quốc hội; Quốc hội (2025), Luật số 121/2025/QH15 ngày 10/12/2025, Luật Hoạt động giám sát của Quốc hội và Hội đồng nhân dân.</w:t>
      </w:r>
    </w:p>
  </w:footnote>
  <w:footnote w:id="5">
    <w:p w:rsidR="008615D9" w:rsidRDefault="002129CE" w:rsidP="00FC5843">
      <w:pPr>
        <w:pStyle w:val="FootnoteText"/>
        <w:spacing w:after="40"/>
        <w:ind w:firstLine="142"/>
      </w:pPr>
      <w:r>
        <w:rPr>
          <w:vertAlign w:val="superscript"/>
        </w:rPr>
        <w:footnoteRef/>
      </w:r>
      <w:r>
        <w:rPr>
          <w:sz w:val="22"/>
          <w:szCs w:val="22"/>
        </w:rPr>
        <w:t xml:space="preserve"> Ban Chấp hành Trung ương (2022), Nghị quyết số 27-NQ/TW ngày 09/11/2022 về tiếp tục xây dựng và hoàn thiện Nhà nước pháp quyền xã hội chủ nghĩa Việt Nam trong giai đoạn mới.</w:t>
      </w:r>
      <w:r w:rsidR="006F2068">
        <w:rPr>
          <w:sz w:val="22"/>
          <w:szCs w:val="22"/>
        </w:rPr>
        <w:t xml:space="preserve"> Ban Nghị quyết số 28-NQ/TW ngày 17/11/2022 về tiếp tục đổi mới phương thức lãnh đạo, cầm quyền của Đảng đối với hệ thống chính trị trong giai đoạn mớ</w:t>
      </w:r>
    </w:p>
  </w:footnote>
  <w:footnote w:id="6">
    <w:p w:rsidR="008615D9" w:rsidRDefault="002129CE" w:rsidP="00FC5843">
      <w:pPr>
        <w:pStyle w:val="FootnoteText"/>
        <w:spacing w:after="40"/>
        <w:ind w:firstLine="142"/>
      </w:pPr>
      <w:r>
        <w:rPr>
          <w:vertAlign w:val="superscript"/>
        </w:rPr>
        <w:footnoteRef/>
      </w:r>
      <w:r>
        <w:rPr>
          <w:sz w:val="22"/>
          <w:szCs w:val="22"/>
        </w:rPr>
        <w:t xml:space="preserve"> Ban Chấp hành Trung ương (2021), Kết luận số 21-KL/TW ngày 25/10/2021 về đẩy mạnh xây dựng, chỉnh đốn Đảng và hệ thống chính trị; kiên quyết ngăn chặn, đẩy lùi, xử lý nghiêm cán bộ, đảng viên suy thoái về tư tưởng chính trị, đạo đức, lối sống, biểu hiện “tự diễn biến”, “tự chuyển hóa”.</w:t>
      </w:r>
    </w:p>
  </w:footnote>
  <w:footnote w:id="7">
    <w:p w:rsidR="008615D9" w:rsidRDefault="002129CE" w:rsidP="00FC5843">
      <w:pPr>
        <w:pStyle w:val="FootnoteText"/>
        <w:spacing w:after="40"/>
        <w:ind w:firstLine="142"/>
      </w:pPr>
      <w:r>
        <w:rPr>
          <w:vertAlign w:val="superscript"/>
        </w:rPr>
        <w:footnoteRef/>
      </w:r>
      <w:r>
        <w:rPr>
          <w:sz w:val="22"/>
          <w:szCs w:val="22"/>
        </w:rPr>
        <w:t xml:space="preserve"> Ủy ban Thường vụ Quốc hội (2022), Nghị quyết số 560/NQ-UBTVQH15 ngày 22/7/2022 hướng dẫn việc tổ chức thực hiện hoạt động giám sát văn bản quy phạm pháp luật của Hội đồng Dân tộc, Ủy ban của Quốc hội; Ủy ban Thường vụ Quốc hội (2022), Nghị quyết số 594/NQ-UBTVQH15 ngày 12/9/2022 hướng dẫn hoạt động giám sát của Hội đồng nhân dân, Thường trực Hội đồng nhân dân, Ban của Hội đồng nhân dân, Tổ đại biểu Hội đồng nhân dân và đại biểu Hội đồng nhân dân.</w:t>
      </w:r>
    </w:p>
  </w:footnote>
  <w:footnote w:id="8">
    <w:p w:rsidR="008615D9" w:rsidRDefault="002129CE" w:rsidP="00FC5843">
      <w:pPr>
        <w:pStyle w:val="FootnoteText"/>
        <w:spacing w:after="40"/>
        <w:ind w:firstLine="142"/>
      </w:pPr>
      <w:r>
        <w:rPr>
          <w:vertAlign w:val="superscript"/>
        </w:rPr>
        <w:footnoteRef/>
      </w:r>
      <w:r>
        <w:rPr>
          <w:sz w:val="22"/>
          <w:szCs w:val="22"/>
        </w:rPr>
        <w:t xml:space="preserve"> Quốc hội (2024), Nghị quyết số 130/2024/QH15 ngày 08/6/2024 về Chương trình giám sát của Quốc hội năm 2025; Quốc hội (2025), Nghị quyết số 207/2025/QH15 ngày 24/6/2025 về Chương trình giám sát của Quốc hội năm 2026.</w:t>
      </w:r>
    </w:p>
  </w:footnote>
  <w:footnote w:id="9">
    <w:p w:rsidR="008615D9" w:rsidRDefault="002129CE" w:rsidP="00FC5843">
      <w:pPr>
        <w:pStyle w:val="FootnoteText"/>
        <w:spacing w:after="40"/>
        <w:ind w:firstLine="142"/>
      </w:pPr>
      <w:r>
        <w:rPr>
          <w:vertAlign w:val="superscript"/>
        </w:rPr>
        <w:footnoteRef/>
      </w:r>
      <w:r>
        <w:rPr>
          <w:sz w:val="22"/>
          <w:szCs w:val="22"/>
        </w:rPr>
        <w:t xml:space="preserve"> Ủy ban Thường vụ Quốc hội (2022), Nghị quyết số 560/NQ-UBTVQH15 ngày 22/7/2022 hướng dẫn việc tổ chức thực hiện hoạt động giám sát văn bản quy phạm pháp luật của Hội đồng Dân tộc, Ủy ban của Quốc hội.</w:t>
      </w:r>
    </w:p>
  </w:footnote>
  <w:footnote w:id="10">
    <w:p w:rsidR="008615D9" w:rsidRDefault="002129CE" w:rsidP="00FC5843">
      <w:pPr>
        <w:pStyle w:val="FootnoteText"/>
        <w:spacing w:after="40"/>
        <w:ind w:firstLine="142"/>
      </w:pPr>
      <w:r>
        <w:rPr>
          <w:vertAlign w:val="superscript"/>
        </w:rPr>
        <w:footnoteRef/>
      </w:r>
      <w:r>
        <w:rPr>
          <w:sz w:val="22"/>
          <w:szCs w:val="22"/>
        </w:rPr>
        <w:t xml:space="preserve"> Quốc hội (2023), Nghị quyết số 109/2023/QH15 ngày 29/11/2023 về tiếp tục thực hiện một số nghị quyết của Quốc hội khóa XIV và từ đầu nhiệm kỳ khóa XV đến hết Kỳ họp thứ 4 về giám sát chuyên đề, chất vấn; Quốc hội (2025), Nghị quyết số 263/2025/QH15 ngày 11/12/2025 về tiếp tục thực hiện các nghị quyết của Quốc hội khóa XIV và khóa XV về giám sát chuyên đề và chất vấn.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91146D"/>
    <w:multiLevelType w:val="multilevel"/>
    <w:tmpl w:val="B2CE2DA0"/>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2572231"/>
    <w:multiLevelType w:val="multilevel"/>
    <w:tmpl w:val="E812BA3C"/>
    <w:lvl w:ilvl="0">
      <w:start w:val="1"/>
      <w:numFmt w:val="decimal"/>
      <w:lvlText w:val="%1."/>
      <w:lvlJc w:val="center"/>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5D9"/>
    <w:rsid w:val="0003586F"/>
    <w:rsid w:val="00040227"/>
    <w:rsid w:val="002129CE"/>
    <w:rsid w:val="00271577"/>
    <w:rsid w:val="00334199"/>
    <w:rsid w:val="003435E0"/>
    <w:rsid w:val="004B6A6D"/>
    <w:rsid w:val="004D30BE"/>
    <w:rsid w:val="00507851"/>
    <w:rsid w:val="006A19F0"/>
    <w:rsid w:val="006F2068"/>
    <w:rsid w:val="007A4332"/>
    <w:rsid w:val="008615D9"/>
    <w:rsid w:val="00890506"/>
    <w:rsid w:val="009404F9"/>
    <w:rsid w:val="00AB4534"/>
    <w:rsid w:val="00D547C0"/>
    <w:rsid w:val="00F823F6"/>
    <w:rsid w:val="00FC5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D840A6-C906-4091-9B4B-6E074C813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567"/>
      <w:jc w:val="both"/>
    </w:pPr>
    <w:rPr>
      <w:rFonts w:ascii="Times New Roman" w:eastAsia="Calibri" w:hAnsi="Times New Roman" w:cs="Times New Roman"/>
      <w:sz w:val="28"/>
      <w:szCs w:val="22"/>
      <w:lang w:bidi="ar-SA"/>
    </w:rPr>
  </w:style>
  <w:style w:type="paragraph" w:styleId="Heading2">
    <w:name w:val="heading 2"/>
    <w:basedOn w:val="Normal"/>
    <w:next w:val="BodyText"/>
    <w:qFormat/>
    <w:pPr>
      <w:numPr>
        <w:ilvl w:val="1"/>
        <w:numId w:val="1"/>
      </w:numPr>
      <w:spacing w:before="280" w:after="280"/>
      <w:jc w:val="left"/>
      <w:outlineLvl w:val="1"/>
    </w:pPr>
    <w:rPr>
      <w:rFonts w:eastAsia="Times New Roman"/>
      <w:b/>
      <w:bCs/>
      <w:sz w:val="36"/>
      <w:szCs w:val="36"/>
    </w:rPr>
  </w:style>
  <w:style w:type="paragraph" w:styleId="Heading3">
    <w:name w:val="heading 3"/>
    <w:basedOn w:val="Normal"/>
    <w:next w:val="BodyText"/>
    <w:qFormat/>
    <w:pPr>
      <w:numPr>
        <w:ilvl w:val="2"/>
        <w:numId w:val="1"/>
      </w:numPr>
      <w:spacing w:before="280" w:after="280"/>
      <w:jc w:val="left"/>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Heading2Char">
    <w:name w:val="Heading 2 Char"/>
    <w:qFormat/>
    <w:rPr>
      <w:rFonts w:eastAsia="Times New Roman"/>
      <w:b/>
      <w:bCs/>
      <w:sz w:val="36"/>
      <w:szCs w:val="36"/>
    </w:rPr>
  </w:style>
  <w:style w:type="character" w:customStyle="1" w:styleId="Heading3Char">
    <w:name w:val="Heading 3 Char"/>
    <w:qFormat/>
    <w:rPr>
      <w:rFonts w:eastAsia="Times New Roman"/>
      <w:b/>
      <w:bCs/>
      <w:sz w:val="27"/>
      <w:szCs w:val="27"/>
    </w:rPr>
  </w:style>
  <w:style w:type="character" w:styleId="Strong">
    <w:name w:val="Strong"/>
    <w:qFormat/>
    <w:rPr>
      <w:b/>
      <w:bCs/>
    </w:rPr>
  </w:style>
  <w:style w:type="character" w:styleId="Emphasis">
    <w:name w:val="Emphasis"/>
    <w:qFormat/>
    <w:rPr>
      <w:i/>
      <w:iCs/>
    </w:rPr>
  </w:style>
  <w:style w:type="character" w:customStyle="1" w:styleId="BalloonTextChar">
    <w:name w:val="Balloon Text Char"/>
    <w:qFormat/>
    <w:rPr>
      <w:rFonts w:ascii="Segoe UI" w:hAnsi="Segoe UI" w:cs="Segoe UI"/>
      <w:sz w:val="18"/>
      <w:szCs w:val="18"/>
    </w:rPr>
  </w:style>
  <w:style w:type="character" w:customStyle="1" w:styleId="FootnoteTextChar">
    <w:name w:val="Footnote Text Char"/>
    <w:basedOn w:val="DefaultParagraphFont"/>
    <w:qFormat/>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Noto Sans" w:hAnsi="Liberation Sans" w:cs="Noto Sans"/>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isselectedend">
    <w:name w:val="isselectedend"/>
    <w:basedOn w:val="Normal"/>
    <w:qFormat/>
    <w:pPr>
      <w:spacing w:before="280" w:after="280"/>
      <w:ind w:firstLine="0"/>
      <w:jc w:val="left"/>
    </w:pPr>
    <w:rPr>
      <w:rFonts w:eastAsia="Times New Roman"/>
      <w:sz w:val="24"/>
      <w:szCs w:val="24"/>
    </w:rPr>
  </w:style>
  <w:style w:type="paragraph" w:styleId="NormalWeb">
    <w:name w:val="Normal (Web)"/>
    <w:basedOn w:val="Normal"/>
    <w:qFormat/>
    <w:pPr>
      <w:spacing w:before="280" w:after="280"/>
      <w:ind w:firstLine="0"/>
      <w:jc w:val="left"/>
    </w:pPr>
    <w:rPr>
      <w:rFonts w:eastAsia="Times New Roman"/>
      <w:sz w:val="24"/>
      <w:szCs w:val="24"/>
    </w:rPr>
  </w:style>
  <w:style w:type="paragraph" w:styleId="BalloonText">
    <w:name w:val="Balloon Text"/>
    <w:basedOn w:val="Normal"/>
    <w:qFormat/>
    <w:rPr>
      <w:rFonts w:ascii="Segoe UI" w:hAnsi="Segoe UI" w:cs="Segoe UI"/>
      <w:sz w:val="18"/>
      <w:szCs w:val="18"/>
    </w:rPr>
  </w:style>
  <w:style w:type="paragraph" w:styleId="FootnoteText">
    <w:name w:val="footnote text"/>
    <w:basedOn w:val="Normal"/>
    <w:rPr>
      <w:sz w:val="20"/>
      <w:szCs w:val="20"/>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Calibri" w:hAnsi="Times New Roman" w:cs="Times New Roman"/>
      <w:sz w:val="20"/>
      <w:szCs w:val="20"/>
      <w:lang w:bidi="ar-SA"/>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03586F"/>
    <w:pPr>
      <w:tabs>
        <w:tab w:val="center" w:pos="4680"/>
        <w:tab w:val="right" w:pos="9360"/>
      </w:tabs>
    </w:pPr>
  </w:style>
  <w:style w:type="character" w:customStyle="1" w:styleId="HeaderChar">
    <w:name w:val="Header Char"/>
    <w:basedOn w:val="DefaultParagraphFont"/>
    <w:link w:val="Header"/>
    <w:uiPriority w:val="99"/>
    <w:rsid w:val="0003586F"/>
    <w:rPr>
      <w:rFonts w:ascii="Times New Roman" w:eastAsia="Calibri" w:hAnsi="Times New Roman" w:cs="Times New Roman"/>
      <w:sz w:val="28"/>
      <w:szCs w:val="22"/>
      <w:lang w:bidi="ar-SA"/>
    </w:rPr>
  </w:style>
  <w:style w:type="paragraph" w:styleId="Footer">
    <w:name w:val="footer"/>
    <w:basedOn w:val="Normal"/>
    <w:link w:val="FooterChar"/>
    <w:uiPriority w:val="99"/>
    <w:unhideWhenUsed/>
    <w:rsid w:val="0003586F"/>
    <w:pPr>
      <w:tabs>
        <w:tab w:val="center" w:pos="4680"/>
        <w:tab w:val="right" w:pos="9360"/>
      </w:tabs>
    </w:pPr>
  </w:style>
  <w:style w:type="character" w:customStyle="1" w:styleId="FooterChar">
    <w:name w:val="Footer Char"/>
    <w:basedOn w:val="DefaultParagraphFont"/>
    <w:link w:val="Footer"/>
    <w:uiPriority w:val="99"/>
    <w:rsid w:val="0003586F"/>
    <w:rPr>
      <w:rFonts w:ascii="Times New Roman" w:eastAsia="Calibri" w:hAnsi="Times New Roman" w:cs="Times New Roman"/>
      <w:sz w:val="28"/>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2FD33-B51E-4183-84A1-D65AE1935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14</Pages>
  <Words>3990</Words>
  <Characters>22749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MaiHoa</cp:lastModifiedBy>
  <cp:revision>12</cp:revision>
  <cp:lastPrinted>2026-07-23T16:19:00Z</cp:lastPrinted>
  <dcterms:created xsi:type="dcterms:W3CDTF">2026-10-07T10:37:00Z</dcterms:created>
  <dcterms:modified xsi:type="dcterms:W3CDTF">2026-10-21T02:43:00Z</dcterms:modified>
  <dc:language>en-US</dc:language>
</cp:coreProperties>
</file>